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340C8" w14:textId="77777777" w:rsidR="000A500B" w:rsidRPr="000A500B" w:rsidRDefault="000A500B" w:rsidP="005A6D22">
      <w:pPr>
        <w:pStyle w:val="Titre"/>
        <w:jc w:val="both"/>
        <w:rPr>
          <w:sz w:val="48"/>
        </w:rPr>
      </w:pPr>
    </w:p>
    <w:p w14:paraId="4D557A75" w14:textId="77777777" w:rsidR="00747AD9" w:rsidRPr="000A500B" w:rsidRDefault="00747AD9" w:rsidP="000A500B">
      <w:pPr>
        <w:pStyle w:val="Titre"/>
        <w:rPr>
          <w:sz w:val="48"/>
        </w:rPr>
      </w:pPr>
      <w:r w:rsidRPr="000A500B">
        <w:rPr>
          <w:sz w:val="48"/>
        </w:rPr>
        <w:t>CAHIER DES CHARGES</w:t>
      </w:r>
    </w:p>
    <w:p w14:paraId="4F1B19F2" w14:textId="7F18B5ED" w:rsidR="00747AD9" w:rsidRPr="000A500B" w:rsidRDefault="00AB1FAA" w:rsidP="000A500B">
      <w:pPr>
        <w:pStyle w:val="Titre"/>
        <w:rPr>
          <w:sz w:val="48"/>
        </w:rPr>
      </w:pPr>
      <w:r w:rsidRPr="000A500B">
        <w:rPr>
          <w:sz w:val="48"/>
        </w:rPr>
        <w:t>CONCEPTION ET REALISATION DU STAND REGIONAL PROVENCE-ALPES-CÔTE D’AZUR</w:t>
      </w:r>
      <w:r w:rsidR="000A500B" w:rsidRPr="000A500B">
        <w:rPr>
          <w:sz w:val="48"/>
        </w:rPr>
        <w:t xml:space="preserve"> AU SALON DU BOURGET 2017</w:t>
      </w:r>
    </w:p>
    <w:p w14:paraId="194D5E28" w14:textId="77777777" w:rsidR="00AB1FAA" w:rsidRPr="005A6D22" w:rsidRDefault="00AB1FAA" w:rsidP="005A6D22">
      <w:pPr>
        <w:jc w:val="both"/>
      </w:pPr>
    </w:p>
    <w:p w14:paraId="5DBF2D22" w14:textId="77777777" w:rsidR="00747AD9" w:rsidRPr="005A6D22" w:rsidRDefault="00747AD9" w:rsidP="005A6D22">
      <w:pPr>
        <w:jc w:val="both"/>
      </w:pPr>
    </w:p>
    <w:p w14:paraId="0A33517D" w14:textId="77777777" w:rsidR="00747AD9" w:rsidRPr="005A6D22" w:rsidRDefault="00747AD9" w:rsidP="005A6D22">
      <w:pPr>
        <w:jc w:val="both"/>
      </w:pPr>
    </w:p>
    <w:p w14:paraId="6DC9DD9B" w14:textId="77777777" w:rsidR="00747AD9" w:rsidRPr="005A6D22" w:rsidRDefault="00747AD9" w:rsidP="005A6D22">
      <w:pPr>
        <w:jc w:val="both"/>
      </w:pPr>
      <w:r w:rsidRPr="005A6D22">
        <w:t>SOMMAIRE</w:t>
      </w:r>
    </w:p>
    <w:p w14:paraId="74478229" w14:textId="77777777" w:rsidR="00747AD9" w:rsidRPr="005A6D22" w:rsidRDefault="00747AD9" w:rsidP="005A6D22">
      <w:pPr>
        <w:jc w:val="both"/>
      </w:pPr>
    </w:p>
    <w:sdt>
      <w:sdtPr>
        <w:rPr>
          <w:b/>
          <w:bCs/>
        </w:rPr>
        <w:id w:val="39131868"/>
        <w:docPartObj>
          <w:docPartGallery w:val="Table of Contents"/>
          <w:docPartUnique/>
        </w:docPartObj>
      </w:sdtPr>
      <w:sdtEndPr>
        <w:rPr>
          <w:b w:val="0"/>
          <w:bCs w:val="0"/>
        </w:rPr>
      </w:sdtEndPr>
      <w:sdtContent>
        <w:p w14:paraId="76594CA9" w14:textId="77777777" w:rsidR="00971B8A" w:rsidRPr="005A6D22" w:rsidRDefault="00971B8A" w:rsidP="005A6D22">
          <w:pPr>
            <w:jc w:val="both"/>
          </w:pPr>
        </w:p>
        <w:p w14:paraId="5AD22EC6" w14:textId="77777777" w:rsidR="00840647" w:rsidRDefault="006D28D9">
          <w:pPr>
            <w:pStyle w:val="TM1"/>
            <w:tabs>
              <w:tab w:val="left" w:pos="440"/>
              <w:tab w:val="right" w:leader="dot" w:pos="9344"/>
            </w:tabs>
            <w:rPr>
              <w:rFonts w:eastAsiaTheme="minorEastAsia"/>
              <w:noProof/>
              <w:lang w:eastAsia="fr-FR"/>
            </w:rPr>
          </w:pPr>
          <w:r w:rsidRPr="005A6D22">
            <w:fldChar w:fldCharType="begin"/>
          </w:r>
          <w:r w:rsidR="00971B8A" w:rsidRPr="005A6D22">
            <w:instrText xml:space="preserve"> TOC \o "1-3" \h \z \u </w:instrText>
          </w:r>
          <w:r w:rsidRPr="005A6D22">
            <w:fldChar w:fldCharType="separate"/>
          </w:r>
          <w:hyperlink w:anchor="_Toc455669003" w:history="1">
            <w:r w:rsidR="00840647" w:rsidRPr="00AB4065">
              <w:rPr>
                <w:rStyle w:val="Lienhypertexte"/>
                <w:noProof/>
              </w:rPr>
              <w:t>1.</w:t>
            </w:r>
            <w:r w:rsidR="00840647">
              <w:rPr>
                <w:rFonts w:eastAsiaTheme="minorEastAsia"/>
                <w:noProof/>
                <w:lang w:eastAsia="fr-FR"/>
              </w:rPr>
              <w:tab/>
            </w:r>
            <w:r w:rsidR="00840647" w:rsidRPr="00AB4065">
              <w:rPr>
                <w:rStyle w:val="Lienhypertexte"/>
                <w:noProof/>
              </w:rPr>
              <w:t>PREAMBULE</w:t>
            </w:r>
            <w:r w:rsidR="00840647">
              <w:rPr>
                <w:noProof/>
                <w:webHidden/>
              </w:rPr>
              <w:tab/>
            </w:r>
            <w:r w:rsidR="00840647">
              <w:rPr>
                <w:noProof/>
                <w:webHidden/>
              </w:rPr>
              <w:fldChar w:fldCharType="begin"/>
            </w:r>
            <w:r w:rsidR="00840647">
              <w:rPr>
                <w:noProof/>
                <w:webHidden/>
              </w:rPr>
              <w:instrText xml:space="preserve"> PAGEREF _Toc455669003 \h </w:instrText>
            </w:r>
            <w:r w:rsidR="00840647">
              <w:rPr>
                <w:noProof/>
                <w:webHidden/>
              </w:rPr>
            </w:r>
            <w:r w:rsidR="00840647">
              <w:rPr>
                <w:noProof/>
                <w:webHidden/>
              </w:rPr>
              <w:fldChar w:fldCharType="separate"/>
            </w:r>
            <w:r w:rsidR="00840647">
              <w:rPr>
                <w:noProof/>
                <w:webHidden/>
              </w:rPr>
              <w:t>2</w:t>
            </w:r>
            <w:r w:rsidR="00840647">
              <w:rPr>
                <w:noProof/>
                <w:webHidden/>
              </w:rPr>
              <w:fldChar w:fldCharType="end"/>
            </w:r>
          </w:hyperlink>
        </w:p>
        <w:p w14:paraId="4C593699" w14:textId="77777777" w:rsidR="00840647" w:rsidRDefault="00840647">
          <w:pPr>
            <w:pStyle w:val="TM2"/>
            <w:tabs>
              <w:tab w:val="right" w:leader="dot" w:pos="9344"/>
            </w:tabs>
            <w:rPr>
              <w:rFonts w:eastAsiaTheme="minorEastAsia"/>
              <w:noProof/>
              <w:lang w:eastAsia="fr-FR"/>
            </w:rPr>
          </w:pPr>
          <w:hyperlink w:anchor="_Toc455669004" w:history="1">
            <w:r w:rsidRPr="00AB4065">
              <w:rPr>
                <w:rStyle w:val="Lienhypertexte"/>
                <w:noProof/>
              </w:rPr>
              <w:t>La filière aéronautique et spatiale régionale</w:t>
            </w:r>
            <w:r>
              <w:rPr>
                <w:noProof/>
                <w:webHidden/>
              </w:rPr>
              <w:tab/>
            </w:r>
            <w:r>
              <w:rPr>
                <w:noProof/>
                <w:webHidden/>
              </w:rPr>
              <w:fldChar w:fldCharType="begin"/>
            </w:r>
            <w:r>
              <w:rPr>
                <w:noProof/>
                <w:webHidden/>
              </w:rPr>
              <w:instrText xml:space="preserve"> PAGEREF _Toc455669004 \h </w:instrText>
            </w:r>
            <w:r>
              <w:rPr>
                <w:noProof/>
                <w:webHidden/>
              </w:rPr>
            </w:r>
            <w:r>
              <w:rPr>
                <w:noProof/>
                <w:webHidden/>
              </w:rPr>
              <w:fldChar w:fldCharType="separate"/>
            </w:r>
            <w:r>
              <w:rPr>
                <w:noProof/>
                <w:webHidden/>
              </w:rPr>
              <w:t>2</w:t>
            </w:r>
            <w:r>
              <w:rPr>
                <w:noProof/>
                <w:webHidden/>
              </w:rPr>
              <w:fldChar w:fldCharType="end"/>
            </w:r>
          </w:hyperlink>
        </w:p>
        <w:p w14:paraId="15906F2A" w14:textId="77777777" w:rsidR="00840647" w:rsidRDefault="00840647">
          <w:pPr>
            <w:pStyle w:val="TM2"/>
            <w:tabs>
              <w:tab w:val="right" w:leader="dot" w:pos="9344"/>
            </w:tabs>
            <w:rPr>
              <w:rFonts w:eastAsiaTheme="minorEastAsia"/>
              <w:noProof/>
              <w:lang w:eastAsia="fr-FR"/>
            </w:rPr>
          </w:pPr>
          <w:hyperlink w:anchor="_Toc455669005" w:history="1">
            <w:r w:rsidRPr="00AB4065">
              <w:rPr>
                <w:rStyle w:val="Lienhypertexte"/>
                <w:noProof/>
              </w:rPr>
              <w:t>SAFE Cluster</w:t>
            </w:r>
            <w:r>
              <w:rPr>
                <w:noProof/>
                <w:webHidden/>
              </w:rPr>
              <w:tab/>
            </w:r>
            <w:r>
              <w:rPr>
                <w:noProof/>
                <w:webHidden/>
              </w:rPr>
              <w:fldChar w:fldCharType="begin"/>
            </w:r>
            <w:r>
              <w:rPr>
                <w:noProof/>
                <w:webHidden/>
              </w:rPr>
              <w:instrText xml:space="preserve"> PAGEREF _Toc455669005 \h </w:instrText>
            </w:r>
            <w:r>
              <w:rPr>
                <w:noProof/>
                <w:webHidden/>
              </w:rPr>
            </w:r>
            <w:r>
              <w:rPr>
                <w:noProof/>
                <w:webHidden/>
              </w:rPr>
              <w:fldChar w:fldCharType="separate"/>
            </w:r>
            <w:r>
              <w:rPr>
                <w:noProof/>
                <w:webHidden/>
              </w:rPr>
              <w:t>3</w:t>
            </w:r>
            <w:r>
              <w:rPr>
                <w:noProof/>
                <w:webHidden/>
              </w:rPr>
              <w:fldChar w:fldCharType="end"/>
            </w:r>
          </w:hyperlink>
        </w:p>
        <w:p w14:paraId="61056118" w14:textId="77777777" w:rsidR="00840647" w:rsidRDefault="00840647">
          <w:pPr>
            <w:pStyle w:val="TM2"/>
            <w:tabs>
              <w:tab w:val="right" w:leader="dot" w:pos="9344"/>
            </w:tabs>
            <w:rPr>
              <w:rFonts w:eastAsiaTheme="minorEastAsia"/>
              <w:noProof/>
              <w:lang w:eastAsia="fr-FR"/>
            </w:rPr>
          </w:pPr>
          <w:hyperlink w:anchor="_Toc455669006" w:history="1">
            <w:r w:rsidRPr="00AB4065">
              <w:rPr>
                <w:rStyle w:val="Lienhypertexte"/>
                <w:noProof/>
              </w:rPr>
              <w:t>Le salon aéronautique et spatial du Bourget</w:t>
            </w:r>
            <w:r>
              <w:rPr>
                <w:noProof/>
                <w:webHidden/>
              </w:rPr>
              <w:tab/>
            </w:r>
            <w:r>
              <w:rPr>
                <w:noProof/>
                <w:webHidden/>
              </w:rPr>
              <w:fldChar w:fldCharType="begin"/>
            </w:r>
            <w:r>
              <w:rPr>
                <w:noProof/>
                <w:webHidden/>
              </w:rPr>
              <w:instrText xml:space="preserve"> PAGEREF _Toc455669006 \h </w:instrText>
            </w:r>
            <w:r>
              <w:rPr>
                <w:noProof/>
                <w:webHidden/>
              </w:rPr>
            </w:r>
            <w:r>
              <w:rPr>
                <w:noProof/>
                <w:webHidden/>
              </w:rPr>
              <w:fldChar w:fldCharType="separate"/>
            </w:r>
            <w:r>
              <w:rPr>
                <w:noProof/>
                <w:webHidden/>
              </w:rPr>
              <w:t>3</w:t>
            </w:r>
            <w:r>
              <w:rPr>
                <w:noProof/>
                <w:webHidden/>
              </w:rPr>
              <w:fldChar w:fldCharType="end"/>
            </w:r>
          </w:hyperlink>
        </w:p>
        <w:p w14:paraId="266AB075" w14:textId="77777777" w:rsidR="00840647" w:rsidRDefault="00840647">
          <w:pPr>
            <w:pStyle w:val="TM1"/>
            <w:tabs>
              <w:tab w:val="left" w:pos="440"/>
              <w:tab w:val="right" w:leader="dot" w:pos="9344"/>
            </w:tabs>
            <w:rPr>
              <w:rFonts w:eastAsiaTheme="minorEastAsia"/>
              <w:noProof/>
              <w:lang w:eastAsia="fr-FR"/>
            </w:rPr>
          </w:pPr>
          <w:hyperlink w:anchor="_Toc455669007" w:history="1">
            <w:r w:rsidRPr="00AB4065">
              <w:rPr>
                <w:rStyle w:val="Lienhypertexte"/>
                <w:noProof/>
              </w:rPr>
              <w:t>2.</w:t>
            </w:r>
            <w:r>
              <w:rPr>
                <w:rFonts w:eastAsiaTheme="minorEastAsia"/>
                <w:noProof/>
                <w:lang w:eastAsia="fr-FR"/>
              </w:rPr>
              <w:tab/>
            </w:r>
            <w:r w:rsidRPr="00AB4065">
              <w:rPr>
                <w:rStyle w:val="Lienhypertexte"/>
                <w:noProof/>
              </w:rPr>
              <w:t>ENJEUX</w:t>
            </w:r>
            <w:r>
              <w:rPr>
                <w:noProof/>
                <w:webHidden/>
              </w:rPr>
              <w:tab/>
            </w:r>
            <w:r>
              <w:rPr>
                <w:noProof/>
                <w:webHidden/>
              </w:rPr>
              <w:fldChar w:fldCharType="begin"/>
            </w:r>
            <w:r>
              <w:rPr>
                <w:noProof/>
                <w:webHidden/>
              </w:rPr>
              <w:instrText xml:space="preserve"> PAGEREF _Toc455669007 \h </w:instrText>
            </w:r>
            <w:r>
              <w:rPr>
                <w:noProof/>
                <w:webHidden/>
              </w:rPr>
            </w:r>
            <w:r>
              <w:rPr>
                <w:noProof/>
                <w:webHidden/>
              </w:rPr>
              <w:fldChar w:fldCharType="separate"/>
            </w:r>
            <w:r>
              <w:rPr>
                <w:noProof/>
                <w:webHidden/>
              </w:rPr>
              <w:t>3</w:t>
            </w:r>
            <w:r>
              <w:rPr>
                <w:noProof/>
                <w:webHidden/>
              </w:rPr>
              <w:fldChar w:fldCharType="end"/>
            </w:r>
          </w:hyperlink>
        </w:p>
        <w:p w14:paraId="66005111" w14:textId="77777777" w:rsidR="00840647" w:rsidRDefault="00840647">
          <w:pPr>
            <w:pStyle w:val="TM1"/>
            <w:tabs>
              <w:tab w:val="left" w:pos="440"/>
              <w:tab w:val="right" w:leader="dot" w:pos="9344"/>
            </w:tabs>
            <w:rPr>
              <w:rFonts w:eastAsiaTheme="minorEastAsia"/>
              <w:noProof/>
              <w:lang w:eastAsia="fr-FR"/>
            </w:rPr>
          </w:pPr>
          <w:hyperlink w:anchor="_Toc455669008" w:history="1">
            <w:r w:rsidRPr="00AB4065">
              <w:rPr>
                <w:rStyle w:val="Lienhypertexte"/>
                <w:noProof/>
              </w:rPr>
              <w:t>3.</w:t>
            </w:r>
            <w:r>
              <w:rPr>
                <w:rFonts w:eastAsiaTheme="minorEastAsia"/>
                <w:noProof/>
                <w:lang w:eastAsia="fr-FR"/>
              </w:rPr>
              <w:tab/>
            </w:r>
            <w:r w:rsidRPr="00AB4065">
              <w:rPr>
                <w:rStyle w:val="Lienhypertexte"/>
                <w:noProof/>
              </w:rPr>
              <w:t>CARACTERISTIQUES DE LA PRESTATION</w:t>
            </w:r>
            <w:r>
              <w:rPr>
                <w:noProof/>
                <w:webHidden/>
              </w:rPr>
              <w:tab/>
            </w:r>
            <w:r>
              <w:rPr>
                <w:noProof/>
                <w:webHidden/>
              </w:rPr>
              <w:fldChar w:fldCharType="begin"/>
            </w:r>
            <w:r>
              <w:rPr>
                <w:noProof/>
                <w:webHidden/>
              </w:rPr>
              <w:instrText xml:space="preserve"> PAGEREF _Toc455669008 \h </w:instrText>
            </w:r>
            <w:r>
              <w:rPr>
                <w:noProof/>
                <w:webHidden/>
              </w:rPr>
            </w:r>
            <w:r>
              <w:rPr>
                <w:noProof/>
                <w:webHidden/>
              </w:rPr>
              <w:fldChar w:fldCharType="separate"/>
            </w:r>
            <w:r>
              <w:rPr>
                <w:noProof/>
                <w:webHidden/>
              </w:rPr>
              <w:t>4</w:t>
            </w:r>
            <w:r>
              <w:rPr>
                <w:noProof/>
                <w:webHidden/>
              </w:rPr>
              <w:fldChar w:fldCharType="end"/>
            </w:r>
          </w:hyperlink>
        </w:p>
        <w:p w14:paraId="3532EDD7" w14:textId="77777777" w:rsidR="00840647" w:rsidRDefault="00840647">
          <w:pPr>
            <w:pStyle w:val="TM2"/>
            <w:tabs>
              <w:tab w:val="right" w:leader="dot" w:pos="9344"/>
            </w:tabs>
            <w:rPr>
              <w:rFonts w:eastAsiaTheme="minorEastAsia"/>
              <w:noProof/>
              <w:lang w:eastAsia="fr-FR"/>
            </w:rPr>
          </w:pPr>
          <w:hyperlink w:anchor="_Toc455669009" w:history="1">
            <w:r w:rsidRPr="00AB4065">
              <w:rPr>
                <w:rStyle w:val="Lienhypertexte"/>
                <w:noProof/>
              </w:rPr>
              <w:t>Présentation des espaces et leurs aménagements</w:t>
            </w:r>
            <w:r>
              <w:rPr>
                <w:noProof/>
                <w:webHidden/>
              </w:rPr>
              <w:tab/>
            </w:r>
            <w:r>
              <w:rPr>
                <w:noProof/>
                <w:webHidden/>
              </w:rPr>
              <w:fldChar w:fldCharType="begin"/>
            </w:r>
            <w:r>
              <w:rPr>
                <w:noProof/>
                <w:webHidden/>
              </w:rPr>
              <w:instrText xml:space="preserve"> PAGEREF _Toc455669009 \h </w:instrText>
            </w:r>
            <w:r>
              <w:rPr>
                <w:noProof/>
                <w:webHidden/>
              </w:rPr>
            </w:r>
            <w:r>
              <w:rPr>
                <w:noProof/>
                <w:webHidden/>
              </w:rPr>
              <w:fldChar w:fldCharType="separate"/>
            </w:r>
            <w:r>
              <w:rPr>
                <w:noProof/>
                <w:webHidden/>
              </w:rPr>
              <w:t>4</w:t>
            </w:r>
            <w:r>
              <w:rPr>
                <w:noProof/>
                <w:webHidden/>
              </w:rPr>
              <w:fldChar w:fldCharType="end"/>
            </w:r>
          </w:hyperlink>
        </w:p>
        <w:p w14:paraId="7DDB23D3" w14:textId="77777777" w:rsidR="00840647" w:rsidRDefault="00840647">
          <w:pPr>
            <w:pStyle w:val="TM2"/>
            <w:tabs>
              <w:tab w:val="right" w:leader="dot" w:pos="9344"/>
            </w:tabs>
            <w:rPr>
              <w:rFonts w:eastAsiaTheme="minorEastAsia"/>
              <w:noProof/>
              <w:lang w:eastAsia="fr-FR"/>
            </w:rPr>
          </w:pPr>
          <w:hyperlink w:anchor="_Toc455669010" w:history="1">
            <w:r w:rsidRPr="00AB4065">
              <w:rPr>
                <w:rStyle w:val="Lienhypertexte"/>
                <w:noProof/>
              </w:rPr>
              <w:t>Moyens techniques, contraintes et indications complémentaires</w:t>
            </w:r>
            <w:r>
              <w:rPr>
                <w:noProof/>
                <w:webHidden/>
              </w:rPr>
              <w:tab/>
            </w:r>
            <w:r>
              <w:rPr>
                <w:noProof/>
                <w:webHidden/>
              </w:rPr>
              <w:fldChar w:fldCharType="begin"/>
            </w:r>
            <w:r>
              <w:rPr>
                <w:noProof/>
                <w:webHidden/>
              </w:rPr>
              <w:instrText xml:space="preserve"> PAGEREF _Toc455669010 \h </w:instrText>
            </w:r>
            <w:r>
              <w:rPr>
                <w:noProof/>
                <w:webHidden/>
              </w:rPr>
            </w:r>
            <w:r>
              <w:rPr>
                <w:noProof/>
                <w:webHidden/>
              </w:rPr>
              <w:fldChar w:fldCharType="separate"/>
            </w:r>
            <w:r>
              <w:rPr>
                <w:noProof/>
                <w:webHidden/>
              </w:rPr>
              <w:t>6</w:t>
            </w:r>
            <w:r>
              <w:rPr>
                <w:noProof/>
                <w:webHidden/>
              </w:rPr>
              <w:fldChar w:fldCharType="end"/>
            </w:r>
          </w:hyperlink>
        </w:p>
        <w:p w14:paraId="5AFA43DF" w14:textId="77777777" w:rsidR="00840647" w:rsidRDefault="00840647">
          <w:pPr>
            <w:pStyle w:val="TM2"/>
            <w:tabs>
              <w:tab w:val="right" w:leader="dot" w:pos="9344"/>
            </w:tabs>
            <w:rPr>
              <w:rFonts w:eastAsiaTheme="minorEastAsia"/>
              <w:noProof/>
              <w:lang w:eastAsia="fr-FR"/>
            </w:rPr>
          </w:pPr>
          <w:hyperlink w:anchor="_Toc455669011" w:history="1">
            <w:r w:rsidRPr="00AB4065">
              <w:rPr>
                <w:rStyle w:val="Lienhypertexte"/>
                <w:noProof/>
              </w:rPr>
              <w:t>Détails des prestations attendues</w:t>
            </w:r>
            <w:r>
              <w:rPr>
                <w:noProof/>
                <w:webHidden/>
              </w:rPr>
              <w:tab/>
            </w:r>
            <w:r>
              <w:rPr>
                <w:noProof/>
                <w:webHidden/>
              </w:rPr>
              <w:fldChar w:fldCharType="begin"/>
            </w:r>
            <w:r>
              <w:rPr>
                <w:noProof/>
                <w:webHidden/>
              </w:rPr>
              <w:instrText xml:space="preserve"> PAGEREF _Toc455669011 \h </w:instrText>
            </w:r>
            <w:r>
              <w:rPr>
                <w:noProof/>
                <w:webHidden/>
              </w:rPr>
            </w:r>
            <w:r>
              <w:rPr>
                <w:noProof/>
                <w:webHidden/>
              </w:rPr>
              <w:fldChar w:fldCharType="separate"/>
            </w:r>
            <w:r>
              <w:rPr>
                <w:noProof/>
                <w:webHidden/>
              </w:rPr>
              <w:t>6</w:t>
            </w:r>
            <w:r>
              <w:rPr>
                <w:noProof/>
                <w:webHidden/>
              </w:rPr>
              <w:fldChar w:fldCharType="end"/>
            </w:r>
          </w:hyperlink>
        </w:p>
        <w:p w14:paraId="4E0AA358" w14:textId="77777777" w:rsidR="00840647" w:rsidRDefault="00840647">
          <w:pPr>
            <w:pStyle w:val="TM1"/>
            <w:tabs>
              <w:tab w:val="left" w:pos="440"/>
              <w:tab w:val="right" w:leader="dot" w:pos="9344"/>
            </w:tabs>
            <w:rPr>
              <w:rFonts w:eastAsiaTheme="minorEastAsia"/>
              <w:noProof/>
              <w:lang w:eastAsia="fr-FR"/>
            </w:rPr>
          </w:pPr>
          <w:hyperlink w:anchor="_Toc455669012" w:history="1">
            <w:r w:rsidRPr="00AB4065">
              <w:rPr>
                <w:rStyle w:val="Lienhypertexte"/>
                <w:noProof/>
              </w:rPr>
              <w:t>4.</w:t>
            </w:r>
            <w:r>
              <w:rPr>
                <w:rFonts w:eastAsiaTheme="minorEastAsia"/>
                <w:noProof/>
                <w:lang w:eastAsia="fr-FR"/>
              </w:rPr>
              <w:tab/>
            </w:r>
            <w:r w:rsidRPr="00AB4065">
              <w:rPr>
                <w:rStyle w:val="Lienhypertexte"/>
                <w:noProof/>
              </w:rPr>
              <w:t>Budget</w:t>
            </w:r>
            <w:r>
              <w:rPr>
                <w:noProof/>
                <w:webHidden/>
              </w:rPr>
              <w:tab/>
            </w:r>
            <w:r>
              <w:rPr>
                <w:noProof/>
                <w:webHidden/>
              </w:rPr>
              <w:fldChar w:fldCharType="begin"/>
            </w:r>
            <w:r>
              <w:rPr>
                <w:noProof/>
                <w:webHidden/>
              </w:rPr>
              <w:instrText xml:space="preserve"> PAGEREF _Toc455669012 \h </w:instrText>
            </w:r>
            <w:r>
              <w:rPr>
                <w:noProof/>
                <w:webHidden/>
              </w:rPr>
            </w:r>
            <w:r>
              <w:rPr>
                <w:noProof/>
                <w:webHidden/>
              </w:rPr>
              <w:fldChar w:fldCharType="separate"/>
            </w:r>
            <w:r>
              <w:rPr>
                <w:noProof/>
                <w:webHidden/>
              </w:rPr>
              <w:t>6</w:t>
            </w:r>
            <w:r>
              <w:rPr>
                <w:noProof/>
                <w:webHidden/>
              </w:rPr>
              <w:fldChar w:fldCharType="end"/>
            </w:r>
          </w:hyperlink>
        </w:p>
        <w:p w14:paraId="09293EF0" w14:textId="77777777" w:rsidR="00840647" w:rsidRDefault="00840647">
          <w:pPr>
            <w:pStyle w:val="TM2"/>
            <w:tabs>
              <w:tab w:val="right" w:leader="dot" w:pos="9344"/>
            </w:tabs>
            <w:rPr>
              <w:rFonts w:eastAsiaTheme="minorEastAsia"/>
              <w:noProof/>
              <w:lang w:eastAsia="fr-FR"/>
            </w:rPr>
          </w:pPr>
          <w:hyperlink w:anchor="_Toc455669013" w:history="1">
            <w:r w:rsidRPr="00AB4065">
              <w:rPr>
                <w:rStyle w:val="Lienhypertexte"/>
                <w:noProof/>
              </w:rPr>
              <w:t>Critères de sélection</w:t>
            </w:r>
            <w:r>
              <w:rPr>
                <w:noProof/>
                <w:webHidden/>
              </w:rPr>
              <w:tab/>
            </w:r>
            <w:r>
              <w:rPr>
                <w:noProof/>
                <w:webHidden/>
              </w:rPr>
              <w:fldChar w:fldCharType="begin"/>
            </w:r>
            <w:r>
              <w:rPr>
                <w:noProof/>
                <w:webHidden/>
              </w:rPr>
              <w:instrText xml:space="preserve"> PAGEREF _Toc455669013 \h </w:instrText>
            </w:r>
            <w:r>
              <w:rPr>
                <w:noProof/>
                <w:webHidden/>
              </w:rPr>
            </w:r>
            <w:r>
              <w:rPr>
                <w:noProof/>
                <w:webHidden/>
              </w:rPr>
              <w:fldChar w:fldCharType="separate"/>
            </w:r>
            <w:r>
              <w:rPr>
                <w:noProof/>
                <w:webHidden/>
              </w:rPr>
              <w:t>7</w:t>
            </w:r>
            <w:r>
              <w:rPr>
                <w:noProof/>
                <w:webHidden/>
              </w:rPr>
              <w:fldChar w:fldCharType="end"/>
            </w:r>
          </w:hyperlink>
        </w:p>
        <w:p w14:paraId="0E603A1C" w14:textId="77777777" w:rsidR="00840647" w:rsidRDefault="00840647">
          <w:pPr>
            <w:pStyle w:val="TM2"/>
            <w:tabs>
              <w:tab w:val="right" w:leader="dot" w:pos="9344"/>
            </w:tabs>
            <w:rPr>
              <w:rFonts w:eastAsiaTheme="minorEastAsia"/>
              <w:noProof/>
              <w:lang w:eastAsia="fr-FR"/>
            </w:rPr>
          </w:pPr>
          <w:hyperlink w:anchor="_Toc455669014" w:history="1">
            <w:r w:rsidRPr="00AB4065">
              <w:rPr>
                <w:rStyle w:val="Lienhypertexte"/>
                <w:noProof/>
              </w:rPr>
              <w:t>Jury de sélection</w:t>
            </w:r>
            <w:r>
              <w:rPr>
                <w:noProof/>
                <w:webHidden/>
              </w:rPr>
              <w:tab/>
            </w:r>
            <w:r>
              <w:rPr>
                <w:noProof/>
                <w:webHidden/>
              </w:rPr>
              <w:fldChar w:fldCharType="begin"/>
            </w:r>
            <w:r>
              <w:rPr>
                <w:noProof/>
                <w:webHidden/>
              </w:rPr>
              <w:instrText xml:space="preserve"> PAGEREF _Toc455669014 \h </w:instrText>
            </w:r>
            <w:r>
              <w:rPr>
                <w:noProof/>
                <w:webHidden/>
              </w:rPr>
            </w:r>
            <w:r>
              <w:rPr>
                <w:noProof/>
                <w:webHidden/>
              </w:rPr>
              <w:fldChar w:fldCharType="separate"/>
            </w:r>
            <w:r>
              <w:rPr>
                <w:noProof/>
                <w:webHidden/>
              </w:rPr>
              <w:t>7</w:t>
            </w:r>
            <w:r>
              <w:rPr>
                <w:noProof/>
                <w:webHidden/>
              </w:rPr>
              <w:fldChar w:fldCharType="end"/>
            </w:r>
          </w:hyperlink>
        </w:p>
        <w:p w14:paraId="1CA1EB23" w14:textId="77777777" w:rsidR="00840647" w:rsidRDefault="00840647">
          <w:pPr>
            <w:pStyle w:val="TM1"/>
            <w:tabs>
              <w:tab w:val="left" w:pos="440"/>
              <w:tab w:val="right" w:leader="dot" w:pos="9344"/>
            </w:tabs>
            <w:rPr>
              <w:rFonts w:eastAsiaTheme="minorEastAsia"/>
              <w:noProof/>
              <w:lang w:eastAsia="fr-FR"/>
            </w:rPr>
          </w:pPr>
          <w:hyperlink w:anchor="_Toc455669015" w:history="1">
            <w:r w:rsidRPr="00AB4065">
              <w:rPr>
                <w:rStyle w:val="Lienhypertexte"/>
                <w:noProof/>
              </w:rPr>
              <w:t>5.</w:t>
            </w:r>
            <w:r>
              <w:rPr>
                <w:rFonts w:eastAsiaTheme="minorEastAsia"/>
                <w:noProof/>
                <w:lang w:eastAsia="fr-FR"/>
              </w:rPr>
              <w:tab/>
            </w:r>
            <w:r w:rsidRPr="00AB4065">
              <w:rPr>
                <w:rStyle w:val="Lienhypertexte"/>
                <w:noProof/>
              </w:rPr>
              <w:t>Modalités de réponse</w:t>
            </w:r>
            <w:r>
              <w:rPr>
                <w:noProof/>
                <w:webHidden/>
              </w:rPr>
              <w:tab/>
            </w:r>
            <w:r>
              <w:rPr>
                <w:noProof/>
                <w:webHidden/>
              </w:rPr>
              <w:fldChar w:fldCharType="begin"/>
            </w:r>
            <w:r>
              <w:rPr>
                <w:noProof/>
                <w:webHidden/>
              </w:rPr>
              <w:instrText xml:space="preserve"> PAGEREF _Toc455669015 \h </w:instrText>
            </w:r>
            <w:r>
              <w:rPr>
                <w:noProof/>
                <w:webHidden/>
              </w:rPr>
            </w:r>
            <w:r>
              <w:rPr>
                <w:noProof/>
                <w:webHidden/>
              </w:rPr>
              <w:fldChar w:fldCharType="separate"/>
            </w:r>
            <w:r>
              <w:rPr>
                <w:noProof/>
                <w:webHidden/>
              </w:rPr>
              <w:t>7</w:t>
            </w:r>
            <w:r>
              <w:rPr>
                <w:noProof/>
                <w:webHidden/>
              </w:rPr>
              <w:fldChar w:fldCharType="end"/>
            </w:r>
          </w:hyperlink>
        </w:p>
        <w:p w14:paraId="0AC66294" w14:textId="77777777" w:rsidR="00840647" w:rsidRDefault="00840647">
          <w:pPr>
            <w:pStyle w:val="TM1"/>
            <w:tabs>
              <w:tab w:val="left" w:pos="440"/>
              <w:tab w:val="right" w:leader="dot" w:pos="9344"/>
            </w:tabs>
            <w:rPr>
              <w:rFonts w:eastAsiaTheme="minorEastAsia"/>
              <w:noProof/>
              <w:lang w:eastAsia="fr-FR"/>
            </w:rPr>
          </w:pPr>
          <w:hyperlink w:anchor="_Toc455669016" w:history="1">
            <w:r w:rsidRPr="00AB4065">
              <w:rPr>
                <w:rStyle w:val="Lienhypertexte"/>
                <w:noProof/>
              </w:rPr>
              <w:t>6.</w:t>
            </w:r>
            <w:r>
              <w:rPr>
                <w:rFonts w:eastAsiaTheme="minorEastAsia"/>
                <w:noProof/>
                <w:lang w:eastAsia="fr-FR"/>
              </w:rPr>
              <w:tab/>
            </w:r>
            <w:r w:rsidRPr="00AB4065">
              <w:rPr>
                <w:rStyle w:val="Lienhypertexte"/>
                <w:noProof/>
              </w:rPr>
              <w:t>Documents obligatoires</w:t>
            </w:r>
            <w:r>
              <w:rPr>
                <w:noProof/>
                <w:webHidden/>
              </w:rPr>
              <w:tab/>
            </w:r>
            <w:r>
              <w:rPr>
                <w:noProof/>
                <w:webHidden/>
              </w:rPr>
              <w:fldChar w:fldCharType="begin"/>
            </w:r>
            <w:r>
              <w:rPr>
                <w:noProof/>
                <w:webHidden/>
              </w:rPr>
              <w:instrText xml:space="preserve"> PAGEREF _Toc455669016 \h </w:instrText>
            </w:r>
            <w:r>
              <w:rPr>
                <w:noProof/>
                <w:webHidden/>
              </w:rPr>
            </w:r>
            <w:r>
              <w:rPr>
                <w:noProof/>
                <w:webHidden/>
              </w:rPr>
              <w:fldChar w:fldCharType="separate"/>
            </w:r>
            <w:r>
              <w:rPr>
                <w:noProof/>
                <w:webHidden/>
              </w:rPr>
              <w:t>8</w:t>
            </w:r>
            <w:r>
              <w:rPr>
                <w:noProof/>
                <w:webHidden/>
              </w:rPr>
              <w:fldChar w:fldCharType="end"/>
            </w:r>
          </w:hyperlink>
        </w:p>
        <w:p w14:paraId="77C07877" w14:textId="77777777" w:rsidR="00840647" w:rsidRDefault="00840647">
          <w:pPr>
            <w:pStyle w:val="TM1"/>
            <w:tabs>
              <w:tab w:val="left" w:pos="440"/>
              <w:tab w:val="right" w:leader="dot" w:pos="9344"/>
            </w:tabs>
            <w:rPr>
              <w:rFonts w:eastAsiaTheme="minorEastAsia"/>
              <w:noProof/>
              <w:lang w:eastAsia="fr-FR"/>
            </w:rPr>
          </w:pPr>
          <w:hyperlink w:anchor="_Toc455669017" w:history="1">
            <w:r w:rsidRPr="00AB4065">
              <w:rPr>
                <w:rStyle w:val="Lienhypertexte"/>
                <w:noProof/>
              </w:rPr>
              <w:t>7.</w:t>
            </w:r>
            <w:r>
              <w:rPr>
                <w:rFonts w:eastAsiaTheme="minorEastAsia"/>
                <w:noProof/>
                <w:lang w:eastAsia="fr-FR"/>
              </w:rPr>
              <w:tab/>
            </w:r>
            <w:r w:rsidRPr="00AB4065">
              <w:rPr>
                <w:rStyle w:val="Lienhypertexte"/>
                <w:noProof/>
              </w:rPr>
              <w:t>Règlement des litiges</w:t>
            </w:r>
            <w:r>
              <w:rPr>
                <w:noProof/>
                <w:webHidden/>
              </w:rPr>
              <w:tab/>
            </w:r>
            <w:r>
              <w:rPr>
                <w:noProof/>
                <w:webHidden/>
              </w:rPr>
              <w:fldChar w:fldCharType="begin"/>
            </w:r>
            <w:r>
              <w:rPr>
                <w:noProof/>
                <w:webHidden/>
              </w:rPr>
              <w:instrText xml:space="preserve"> PAGEREF _Toc455669017 \h </w:instrText>
            </w:r>
            <w:r>
              <w:rPr>
                <w:noProof/>
                <w:webHidden/>
              </w:rPr>
            </w:r>
            <w:r>
              <w:rPr>
                <w:noProof/>
                <w:webHidden/>
              </w:rPr>
              <w:fldChar w:fldCharType="separate"/>
            </w:r>
            <w:r>
              <w:rPr>
                <w:noProof/>
                <w:webHidden/>
              </w:rPr>
              <w:t>8</w:t>
            </w:r>
            <w:r>
              <w:rPr>
                <w:noProof/>
                <w:webHidden/>
              </w:rPr>
              <w:fldChar w:fldCharType="end"/>
            </w:r>
          </w:hyperlink>
        </w:p>
        <w:p w14:paraId="402AC88C" w14:textId="40643D98" w:rsidR="00971B8A" w:rsidRPr="005A6D22" w:rsidRDefault="006D28D9" w:rsidP="005A6D22">
          <w:pPr>
            <w:jc w:val="both"/>
          </w:pPr>
          <w:r w:rsidRPr="005A6D22">
            <w:fldChar w:fldCharType="end"/>
          </w:r>
        </w:p>
      </w:sdtContent>
    </w:sdt>
    <w:p w14:paraId="445C70DC" w14:textId="77777777" w:rsidR="00971B8A" w:rsidRPr="005A6D22" w:rsidRDefault="00971B8A" w:rsidP="005A6D22">
      <w:pPr>
        <w:jc w:val="both"/>
      </w:pPr>
      <w:r w:rsidRPr="005A6D22">
        <w:br w:type="page"/>
      </w:r>
      <w:bookmarkStart w:id="0" w:name="_GoBack"/>
      <w:bookmarkEnd w:id="0"/>
    </w:p>
    <w:p w14:paraId="439A41B1" w14:textId="77777777" w:rsidR="00747AD9" w:rsidRPr="005A6D22" w:rsidRDefault="00451CA3" w:rsidP="005A6D22">
      <w:pPr>
        <w:pStyle w:val="Titre1"/>
        <w:jc w:val="both"/>
      </w:pPr>
      <w:bookmarkStart w:id="1" w:name="_Toc455669003"/>
      <w:r w:rsidRPr="005A6D22">
        <w:lastRenderedPageBreak/>
        <w:t>PREAMBULE</w:t>
      </w:r>
      <w:bookmarkEnd w:id="1"/>
    </w:p>
    <w:p w14:paraId="0FD70310" w14:textId="77777777" w:rsidR="00747AD9" w:rsidRPr="005A6D22" w:rsidRDefault="00747AD9" w:rsidP="005A6D22">
      <w:pPr>
        <w:jc w:val="both"/>
      </w:pPr>
    </w:p>
    <w:p w14:paraId="37D5540C" w14:textId="77777777" w:rsidR="00AB1FAA" w:rsidRPr="005A6D22" w:rsidRDefault="00AB1FAA" w:rsidP="005A6D22">
      <w:pPr>
        <w:pStyle w:val="Titre2"/>
        <w:rPr>
          <w:rFonts w:cs="Arial Narrow"/>
          <w:color w:val="000080"/>
        </w:rPr>
      </w:pPr>
      <w:bookmarkStart w:id="2" w:name="_Toc455669004"/>
      <w:r w:rsidRPr="005A6D22">
        <w:t>La filière aéronautique et spatiale régionale</w:t>
      </w:r>
      <w:bookmarkEnd w:id="2"/>
    </w:p>
    <w:p w14:paraId="0E06123A" w14:textId="77777777" w:rsidR="00AB1FAA" w:rsidRPr="005A6D22" w:rsidRDefault="00AB1FAA" w:rsidP="005A6D22">
      <w:pPr>
        <w:jc w:val="both"/>
        <w:rPr>
          <w:rFonts w:cs="Arial Narrow"/>
          <w:b/>
          <w:color w:val="000080"/>
        </w:rPr>
      </w:pPr>
    </w:p>
    <w:p w14:paraId="5C18F064" w14:textId="78581225" w:rsidR="00556CCB" w:rsidRPr="005A6D22" w:rsidRDefault="00556CCB" w:rsidP="005A6D22">
      <w:pPr>
        <w:jc w:val="both"/>
        <w:rPr>
          <w:rFonts w:eastAsia="Times New Roman" w:cs="Arial"/>
          <w:lang w:eastAsia="zh-CN"/>
        </w:rPr>
      </w:pPr>
      <w:r w:rsidRPr="005A6D22">
        <w:rPr>
          <w:rFonts w:eastAsia="Times New Roman" w:cs="Arial"/>
          <w:lang w:eastAsia="zh-CN"/>
        </w:rPr>
        <w:t xml:space="preserve">La région </w:t>
      </w:r>
      <w:r w:rsidR="00D70804" w:rsidRPr="005A6D22">
        <w:rPr>
          <w:rFonts w:eastAsia="Times New Roman" w:cs="Arial"/>
          <w:lang w:eastAsia="zh-CN"/>
        </w:rPr>
        <w:t>Provence-Alpes-Côte d’Azur</w:t>
      </w:r>
      <w:r w:rsidRPr="005A6D22">
        <w:rPr>
          <w:rFonts w:eastAsia="Times New Roman" w:cs="Arial"/>
          <w:lang w:eastAsia="zh-CN"/>
        </w:rPr>
        <w:t xml:space="preserve"> compte parmi les 4 premières régions françaises Aéronautique et spatiale :</w:t>
      </w:r>
    </w:p>
    <w:p w14:paraId="43CB092A" w14:textId="77777777" w:rsidR="00040A75" w:rsidRPr="005A6D22" w:rsidRDefault="00785501" w:rsidP="00785501">
      <w:pPr>
        <w:pStyle w:val="Paragraphedeliste"/>
        <w:numPr>
          <w:ilvl w:val="0"/>
          <w:numId w:val="2"/>
        </w:numPr>
        <w:jc w:val="both"/>
        <w:rPr>
          <w:rFonts w:eastAsia="Times New Roman" w:cs="Arial"/>
          <w:lang w:eastAsia="zh-CN"/>
        </w:rPr>
      </w:pPr>
      <w:r w:rsidRPr="005A6D22">
        <w:rPr>
          <w:rFonts w:eastAsia="Times New Roman" w:cs="Arial"/>
          <w:lang w:eastAsia="zh-CN"/>
        </w:rPr>
        <w:t>1</w:t>
      </w:r>
      <w:r w:rsidRPr="005A6D22">
        <w:rPr>
          <w:rFonts w:eastAsia="Times New Roman" w:cs="Arial"/>
          <w:vertAlign w:val="superscript"/>
          <w:lang w:eastAsia="zh-CN"/>
        </w:rPr>
        <w:t>ère</w:t>
      </w:r>
      <w:r w:rsidRPr="005A6D22">
        <w:rPr>
          <w:rFonts w:eastAsia="Times New Roman" w:cs="Arial"/>
          <w:lang w:eastAsia="zh-CN"/>
        </w:rPr>
        <w:t xml:space="preserve"> filière industrielle régionale – 40 700 salariés, 8 donneurs d’ordre de rang mondial, 15 grands groupes, plus de 250 entreprises spécialisées. Un potentiel technique et scientifique reconnu dans l’aéronautique (1</w:t>
      </w:r>
      <w:r w:rsidRPr="005A6D22">
        <w:rPr>
          <w:rFonts w:eastAsia="Times New Roman" w:cs="Arial"/>
          <w:vertAlign w:val="superscript"/>
          <w:lang w:eastAsia="zh-CN"/>
        </w:rPr>
        <w:t>er</w:t>
      </w:r>
      <w:r w:rsidRPr="005A6D22">
        <w:rPr>
          <w:rFonts w:eastAsia="Times New Roman" w:cs="Arial"/>
          <w:lang w:eastAsia="zh-CN"/>
        </w:rPr>
        <w:t xml:space="preserve"> secteur régional de dépenses R&amp;D privée)</w:t>
      </w:r>
    </w:p>
    <w:p w14:paraId="5F2B6C1E" w14:textId="77777777" w:rsidR="00040A75" w:rsidRPr="005A6D22" w:rsidRDefault="00785501" w:rsidP="00785501">
      <w:pPr>
        <w:pStyle w:val="Paragraphedeliste"/>
        <w:numPr>
          <w:ilvl w:val="0"/>
          <w:numId w:val="2"/>
        </w:numPr>
        <w:jc w:val="both"/>
        <w:rPr>
          <w:rFonts w:eastAsia="Times New Roman" w:cs="Arial"/>
          <w:lang w:eastAsia="zh-CN"/>
        </w:rPr>
      </w:pPr>
      <w:r w:rsidRPr="005A6D22">
        <w:rPr>
          <w:rFonts w:eastAsia="Times New Roman" w:cs="Arial"/>
          <w:lang w:eastAsia="zh-CN"/>
        </w:rPr>
        <w:t>CA supérieur à 5 Mds EUR</w:t>
      </w:r>
    </w:p>
    <w:p w14:paraId="1FDFAF44" w14:textId="00F9D05B" w:rsidR="00040A75" w:rsidRPr="005A6D22" w:rsidRDefault="00785501" w:rsidP="00785501">
      <w:pPr>
        <w:pStyle w:val="Paragraphedeliste"/>
        <w:numPr>
          <w:ilvl w:val="0"/>
          <w:numId w:val="2"/>
        </w:numPr>
        <w:jc w:val="both"/>
        <w:rPr>
          <w:rFonts w:eastAsia="Times New Roman" w:cs="Arial"/>
          <w:lang w:eastAsia="zh-CN"/>
        </w:rPr>
      </w:pPr>
      <w:r w:rsidRPr="005A6D22">
        <w:rPr>
          <w:rFonts w:eastAsia="Times New Roman" w:cs="Arial"/>
          <w:lang w:eastAsia="zh-CN"/>
        </w:rPr>
        <w:t>Produits phares</w:t>
      </w:r>
      <w:r w:rsidR="002967B4">
        <w:rPr>
          <w:rFonts w:eastAsia="Times New Roman" w:cs="Arial"/>
          <w:lang w:eastAsia="zh-CN"/>
        </w:rPr>
        <w:t> :</w:t>
      </w:r>
      <w:r w:rsidRPr="005A6D22">
        <w:rPr>
          <w:rFonts w:eastAsia="Times New Roman" w:cs="Arial"/>
          <w:lang w:eastAsia="zh-CN"/>
        </w:rPr>
        <w:t xml:space="preserve"> avions, hélicoptères, dirigeables, drones, satellites </w:t>
      </w:r>
    </w:p>
    <w:p w14:paraId="63537A8C" w14:textId="77777777" w:rsidR="00040A75" w:rsidRPr="005A6D22" w:rsidRDefault="00785501" w:rsidP="00785501">
      <w:pPr>
        <w:pStyle w:val="Paragraphedeliste"/>
        <w:numPr>
          <w:ilvl w:val="0"/>
          <w:numId w:val="2"/>
        </w:numPr>
        <w:jc w:val="both"/>
        <w:rPr>
          <w:rFonts w:eastAsia="Times New Roman" w:cs="Arial"/>
          <w:lang w:eastAsia="zh-CN"/>
        </w:rPr>
      </w:pPr>
      <w:r w:rsidRPr="005A6D22">
        <w:rPr>
          <w:rFonts w:eastAsia="Times New Roman" w:cs="Arial"/>
          <w:lang w:eastAsia="zh-CN"/>
        </w:rPr>
        <w:t>4 grands domaines de compétences : essais et simulation, conception et fabrication de satellites, d’hélicoptères et de drones</w:t>
      </w:r>
    </w:p>
    <w:p w14:paraId="14914B91" w14:textId="77777777" w:rsidR="00040A75" w:rsidRPr="005A6D22" w:rsidRDefault="00785501" w:rsidP="00785501">
      <w:pPr>
        <w:pStyle w:val="Paragraphedeliste"/>
        <w:numPr>
          <w:ilvl w:val="0"/>
          <w:numId w:val="2"/>
        </w:numPr>
        <w:jc w:val="both"/>
        <w:rPr>
          <w:rFonts w:eastAsia="Times New Roman" w:cs="Arial"/>
          <w:lang w:eastAsia="zh-CN"/>
        </w:rPr>
      </w:pPr>
      <w:r w:rsidRPr="005A6D22">
        <w:rPr>
          <w:rFonts w:eastAsia="Times New Roman" w:cs="Arial"/>
          <w:lang w:eastAsia="zh-CN"/>
        </w:rPr>
        <w:t>8 centres d’essais d’excellence, 40 laboratoires et structures R&amp;D, 1700 chercheurs – 30% de la R&amp;D régionale</w:t>
      </w:r>
    </w:p>
    <w:p w14:paraId="250CB313" w14:textId="77777777" w:rsidR="00040A75" w:rsidRPr="005A6D22" w:rsidRDefault="00785501" w:rsidP="00785501">
      <w:pPr>
        <w:pStyle w:val="Paragraphedeliste"/>
        <w:numPr>
          <w:ilvl w:val="0"/>
          <w:numId w:val="2"/>
        </w:numPr>
        <w:jc w:val="both"/>
        <w:rPr>
          <w:rFonts w:eastAsia="Times New Roman" w:cs="Arial"/>
          <w:lang w:eastAsia="zh-CN"/>
        </w:rPr>
      </w:pPr>
      <w:r w:rsidRPr="005A6D22">
        <w:rPr>
          <w:rFonts w:eastAsia="Times New Roman" w:cs="Arial"/>
          <w:lang w:eastAsia="zh-CN"/>
        </w:rPr>
        <w:t>10 écoles d’ingénieurs</w:t>
      </w:r>
    </w:p>
    <w:p w14:paraId="79E8A5B5" w14:textId="77777777" w:rsidR="00AB1FAA" w:rsidRPr="005A6D22" w:rsidRDefault="00AB1FAA" w:rsidP="005A6D22">
      <w:pPr>
        <w:jc w:val="both"/>
        <w:rPr>
          <w:rFonts w:cs="Arial"/>
        </w:rPr>
      </w:pPr>
    </w:p>
    <w:p w14:paraId="01E4D83D" w14:textId="713D782A" w:rsidR="00AB1FAA" w:rsidRPr="005A6D22" w:rsidRDefault="00556CCB" w:rsidP="005A6D22">
      <w:pPr>
        <w:jc w:val="both"/>
      </w:pPr>
      <w:r w:rsidRPr="005A6D22">
        <w:t>Principaux acteurs de la région :</w:t>
      </w:r>
    </w:p>
    <w:p w14:paraId="057DF416" w14:textId="35F83B8A" w:rsidR="00040A75" w:rsidRPr="005A6D22" w:rsidRDefault="00785501" w:rsidP="00785501">
      <w:pPr>
        <w:pStyle w:val="Paragraphedeliste"/>
        <w:numPr>
          <w:ilvl w:val="0"/>
          <w:numId w:val="3"/>
        </w:numPr>
        <w:jc w:val="both"/>
      </w:pPr>
      <w:r w:rsidRPr="005A6D22">
        <w:t xml:space="preserve">Un véritable réseau de </w:t>
      </w:r>
      <w:r w:rsidR="00556CCB" w:rsidRPr="005A6D22">
        <w:t>sous-traitants</w:t>
      </w:r>
      <w:r w:rsidRPr="005A6D22">
        <w:t xml:space="preserve"> répartis autour des grands donneur</w:t>
      </w:r>
      <w:r w:rsidR="002967B4">
        <w:t>s d’ordre civils et militaires</w:t>
      </w:r>
    </w:p>
    <w:p w14:paraId="2797B25D" w14:textId="18E53FDF" w:rsidR="00040A75" w:rsidRPr="002967B4" w:rsidRDefault="00785501" w:rsidP="00785501">
      <w:pPr>
        <w:pStyle w:val="Paragraphedeliste"/>
        <w:numPr>
          <w:ilvl w:val="0"/>
          <w:numId w:val="3"/>
        </w:numPr>
        <w:jc w:val="both"/>
      </w:pPr>
      <w:r w:rsidRPr="005A6D22">
        <w:t xml:space="preserve">200 entreprises spécialisées </w:t>
      </w:r>
      <w:r w:rsidRPr="002967B4">
        <w:t xml:space="preserve">autour de </w:t>
      </w:r>
      <w:r w:rsidRPr="002967B4">
        <w:rPr>
          <w:bCs/>
        </w:rPr>
        <w:t xml:space="preserve">Thales Alenia </w:t>
      </w:r>
      <w:proofErr w:type="spellStart"/>
      <w:r w:rsidRPr="002967B4">
        <w:rPr>
          <w:bCs/>
        </w:rPr>
        <w:t>Space</w:t>
      </w:r>
      <w:proofErr w:type="spellEnd"/>
      <w:r w:rsidRPr="002967B4">
        <w:rPr>
          <w:bCs/>
        </w:rPr>
        <w:t xml:space="preserve"> </w:t>
      </w:r>
      <w:r w:rsidR="002967B4" w:rsidRPr="002967B4">
        <w:t>à Cannes et Sophia Antipolis</w:t>
      </w:r>
    </w:p>
    <w:p w14:paraId="01A26804" w14:textId="1FC685C8" w:rsidR="00040A75" w:rsidRPr="002967B4" w:rsidRDefault="00785501" w:rsidP="00785501">
      <w:pPr>
        <w:pStyle w:val="Paragraphedeliste"/>
        <w:numPr>
          <w:ilvl w:val="0"/>
          <w:numId w:val="3"/>
        </w:numPr>
        <w:jc w:val="both"/>
      </w:pPr>
      <w:r w:rsidRPr="002967B4">
        <w:t xml:space="preserve">800 sous-traitants autour </w:t>
      </w:r>
      <w:r w:rsidRPr="002967B4">
        <w:rPr>
          <w:bCs/>
        </w:rPr>
        <w:t xml:space="preserve">d’Airbus </w:t>
      </w:r>
      <w:proofErr w:type="spellStart"/>
      <w:r w:rsidRPr="002967B4">
        <w:rPr>
          <w:bCs/>
        </w:rPr>
        <w:t>Helicopters</w:t>
      </w:r>
      <w:proofErr w:type="spellEnd"/>
      <w:r w:rsidRPr="002967B4">
        <w:rPr>
          <w:bCs/>
        </w:rPr>
        <w:t xml:space="preserve">, </w:t>
      </w:r>
      <w:r w:rsidRPr="002967B4">
        <w:t>1</w:t>
      </w:r>
      <w:r w:rsidRPr="002967B4">
        <w:rPr>
          <w:vertAlign w:val="superscript"/>
        </w:rPr>
        <w:t>er</w:t>
      </w:r>
      <w:r w:rsidRPr="002967B4">
        <w:t xml:space="preserve"> fabricant mondial</w:t>
      </w:r>
      <w:r w:rsidRPr="002967B4">
        <w:rPr>
          <w:bCs/>
        </w:rPr>
        <w:t xml:space="preserve">, </w:t>
      </w:r>
      <w:r w:rsidRPr="002967B4">
        <w:t>à M</w:t>
      </w:r>
      <w:r w:rsidR="00D70804" w:rsidRPr="002967B4">
        <w:t xml:space="preserve">arignane, de DGA Essais en Vol </w:t>
      </w:r>
      <w:r w:rsidRPr="002967B4">
        <w:t>à Istres et de la base aérienne de Salon de Provence</w:t>
      </w:r>
    </w:p>
    <w:p w14:paraId="4E7D06D7" w14:textId="77777777" w:rsidR="00040A75" w:rsidRPr="005A6D22" w:rsidRDefault="00785501" w:rsidP="00785501">
      <w:pPr>
        <w:pStyle w:val="Paragraphedeliste"/>
        <w:numPr>
          <w:ilvl w:val="0"/>
          <w:numId w:val="3"/>
        </w:numPr>
        <w:jc w:val="both"/>
      </w:pPr>
      <w:r w:rsidRPr="002967B4">
        <w:t xml:space="preserve">40 PME et 51 prestataires autour du pôle </w:t>
      </w:r>
      <w:proofErr w:type="spellStart"/>
      <w:r w:rsidRPr="002967B4">
        <w:rPr>
          <w:bCs/>
        </w:rPr>
        <w:t>Excell’Air</w:t>
      </w:r>
      <w:proofErr w:type="spellEnd"/>
      <w:r w:rsidRPr="002967B4">
        <w:rPr>
          <w:bCs/>
        </w:rPr>
        <w:t xml:space="preserve"> </w:t>
      </w:r>
      <w:r w:rsidRPr="002967B4">
        <w:t xml:space="preserve">de Tallard </w:t>
      </w:r>
      <w:r w:rsidRPr="005A6D22">
        <w:t xml:space="preserve">dans les Hautes-Alpes – Aviation légère </w:t>
      </w:r>
    </w:p>
    <w:p w14:paraId="2D7C5873" w14:textId="244836DF" w:rsidR="00040A75" w:rsidRPr="005A6D22" w:rsidRDefault="00785501" w:rsidP="00785501">
      <w:pPr>
        <w:pStyle w:val="Paragraphedeliste"/>
        <w:numPr>
          <w:ilvl w:val="0"/>
          <w:numId w:val="3"/>
        </w:numPr>
        <w:jc w:val="both"/>
      </w:pPr>
      <w:r w:rsidRPr="005A6D22">
        <w:t xml:space="preserve">30 000 militaires et 10 000 civils travaillent pour la Défense </w:t>
      </w:r>
      <w:r w:rsidRPr="002967B4">
        <w:t xml:space="preserve">autour de la </w:t>
      </w:r>
      <w:r w:rsidRPr="002967B4">
        <w:rPr>
          <w:bCs/>
        </w:rPr>
        <w:t>DCNS</w:t>
      </w:r>
      <w:r w:rsidRPr="002967B4">
        <w:t xml:space="preserve"> et de la </w:t>
      </w:r>
      <w:r w:rsidRPr="002967B4">
        <w:rPr>
          <w:bCs/>
        </w:rPr>
        <w:t>DGA</w:t>
      </w:r>
      <w:r w:rsidRPr="005A6D22">
        <w:t xml:space="preserve"> à Toulon  - présence également de l’EALAT (Ecole de l’Aviation Légère de l’Armée d</w:t>
      </w:r>
      <w:r w:rsidR="002967B4">
        <w:t>e Terre)</w:t>
      </w:r>
    </w:p>
    <w:p w14:paraId="5024B325" w14:textId="77777777" w:rsidR="00556CCB" w:rsidRDefault="00556CCB" w:rsidP="005A6D22">
      <w:pPr>
        <w:jc w:val="both"/>
      </w:pPr>
    </w:p>
    <w:p w14:paraId="03796265" w14:textId="259BCCB2" w:rsidR="00E35B23" w:rsidRDefault="00E35B23" w:rsidP="00E35B23">
      <w:pPr>
        <w:jc w:val="both"/>
      </w:pPr>
      <w:r>
        <w:t xml:space="preserve">La Région Provence-Alpes-Côte d’Azur a défini dans le cadre de sa Stratégie Régionale d’Innovation  2014-2020 cinq </w:t>
      </w:r>
      <w:r w:rsidR="00327F46">
        <w:t xml:space="preserve">grands domaines, </w:t>
      </w:r>
      <w:r w:rsidR="00F52FD3">
        <w:t>pour d</w:t>
      </w:r>
      <w:r w:rsidR="00F52FD3" w:rsidRPr="00F52FD3">
        <w:t>énicher de nouveaux talents, booster les entreprises innovantes, les accompagner  dans leur conquête des marchés, créer de l’emploi et renforcer le tissu industriel  régional.</w:t>
      </w:r>
      <w:r w:rsidR="00F52FD3">
        <w:t xml:space="preserve"> La </w:t>
      </w:r>
      <w:r w:rsidR="00F52FD3">
        <w:t>filière aéronautique et spatiale</w:t>
      </w:r>
      <w:r w:rsidR="00F52FD3">
        <w:t xml:space="preserve"> est particulièrement concernée dans les DAS </w:t>
      </w:r>
      <w:r w:rsidR="005C10CB">
        <w:t>« </w:t>
      </w:r>
      <w:r w:rsidR="005C10CB">
        <w:t>Risque – Sécurité – Sûreté</w:t>
      </w:r>
      <w:r w:rsidR="005C10CB">
        <w:t> » et « </w:t>
      </w:r>
      <w:r w:rsidR="005C10CB" w:rsidRPr="005C10CB">
        <w:t>Mo</w:t>
      </w:r>
      <w:r w:rsidR="005C10CB">
        <w:t>bilité intelligente et durable »</w:t>
      </w:r>
      <w:r w:rsidR="00F52FD3">
        <w:t>).</w:t>
      </w:r>
    </w:p>
    <w:p w14:paraId="44D386CC" w14:textId="77777777" w:rsidR="00E35B23" w:rsidRDefault="00E35B23" w:rsidP="00E35B23">
      <w:pPr>
        <w:jc w:val="both"/>
      </w:pPr>
    </w:p>
    <w:p w14:paraId="6371BBC9" w14:textId="2D0885C1" w:rsidR="005C10CB" w:rsidRDefault="005C10CB" w:rsidP="00E35B23">
      <w:pPr>
        <w:jc w:val="both"/>
      </w:pPr>
      <w:r>
        <w:t>DAS « Risque – Sécurité – Sûreté »</w:t>
      </w:r>
    </w:p>
    <w:p w14:paraId="62C4BEF0" w14:textId="6508911E" w:rsidR="005C10CB" w:rsidRDefault="005C10CB" w:rsidP="005C10CB">
      <w:pPr>
        <w:jc w:val="both"/>
      </w:pPr>
      <w:r>
        <w:t>Les marchés liés aux risques et à la sécurité représentent des opportunités réelles pour le tissu</w:t>
      </w:r>
      <w:r>
        <w:t xml:space="preserve"> </w:t>
      </w:r>
      <w:r>
        <w:t>d’entreprises en PACA qui disposent autant de produits que de capacité à générer de nouvelles</w:t>
      </w:r>
      <w:r>
        <w:t xml:space="preserve"> </w:t>
      </w:r>
      <w:r>
        <w:t>technologies. Les clés de l'innovation de ces marchés reposent sur la même base technologique.</w:t>
      </w:r>
    </w:p>
    <w:p w14:paraId="4CE792AD" w14:textId="3FC7B9AA" w:rsidR="005C10CB" w:rsidRDefault="005C10CB" w:rsidP="005C10CB">
      <w:pPr>
        <w:jc w:val="both"/>
      </w:pPr>
      <w:r>
        <w:t>Ainsi les technologies ou les produits (comme les hélicoptères ou les drones) peuvent avoir des</w:t>
      </w:r>
      <w:r>
        <w:t xml:space="preserve"> </w:t>
      </w:r>
      <w:r>
        <w:t>applications civiles ou militaires.</w:t>
      </w:r>
    </w:p>
    <w:p w14:paraId="55262F88" w14:textId="77777777" w:rsidR="005C10CB" w:rsidRDefault="005C10CB" w:rsidP="00E35B23">
      <w:pPr>
        <w:jc w:val="both"/>
      </w:pPr>
    </w:p>
    <w:p w14:paraId="05651E98" w14:textId="7C25607E" w:rsidR="005C10CB" w:rsidRDefault="005C10CB" w:rsidP="00E35B23">
      <w:pPr>
        <w:jc w:val="both"/>
      </w:pPr>
      <w:r>
        <w:t xml:space="preserve">DAS </w:t>
      </w:r>
      <w:r>
        <w:t>« </w:t>
      </w:r>
      <w:r w:rsidRPr="005C10CB">
        <w:t>Mo</w:t>
      </w:r>
      <w:r>
        <w:t>bilité intelligente et durable »</w:t>
      </w:r>
    </w:p>
    <w:p w14:paraId="2D60417E" w14:textId="79F7E1D8" w:rsidR="005C10CB" w:rsidRDefault="00CA2F26" w:rsidP="00CA2F26">
      <w:pPr>
        <w:jc w:val="both"/>
      </w:pPr>
      <w:r>
        <w:t>L’un des objectifs de ce DAS est de r</w:t>
      </w:r>
      <w:r>
        <w:t>enforcer la compétitivité industrielle de l’aéronautique et du naval par le développement de</w:t>
      </w:r>
      <w:r>
        <w:t xml:space="preserve"> </w:t>
      </w:r>
      <w:r>
        <w:t>nouveaux véhicules de transport et de nouvelles activités</w:t>
      </w:r>
      <w:r>
        <w:t>, comme par exemple les aéronefs du futur (dirigeables et hélicoptères du futur).</w:t>
      </w:r>
    </w:p>
    <w:p w14:paraId="60BD5D1B" w14:textId="77777777" w:rsidR="005C10CB" w:rsidRDefault="005C10CB" w:rsidP="00E35B23">
      <w:pPr>
        <w:jc w:val="both"/>
      </w:pPr>
    </w:p>
    <w:p w14:paraId="35A01CA5" w14:textId="691C31FB" w:rsidR="00CA2F26" w:rsidRDefault="00CA2F26" w:rsidP="00E35B23">
      <w:pPr>
        <w:jc w:val="both"/>
      </w:pPr>
    </w:p>
    <w:p w14:paraId="5A77C579" w14:textId="77777777" w:rsidR="00CA2F26" w:rsidRDefault="00CA2F26" w:rsidP="00E35B23">
      <w:pPr>
        <w:jc w:val="both"/>
      </w:pPr>
    </w:p>
    <w:p w14:paraId="046CF7F9" w14:textId="77777777" w:rsidR="005C10CB" w:rsidRPr="005A6D22" w:rsidRDefault="005C10CB" w:rsidP="00E35B23">
      <w:pPr>
        <w:jc w:val="both"/>
      </w:pPr>
    </w:p>
    <w:p w14:paraId="6F50C241" w14:textId="77777777" w:rsidR="00AB1FAA" w:rsidRPr="005A6D22" w:rsidRDefault="00AB1FAA" w:rsidP="00ED79F5">
      <w:pPr>
        <w:pStyle w:val="Titre2"/>
      </w:pPr>
      <w:bookmarkStart w:id="3" w:name="_Toc455669005"/>
      <w:r w:rsidRPr="005A6D22">
        <w:lastRenderedPageBreak/>
        <w:t>SAFE Cluster</w:t>
      </w:r>
      <w:bookmarkEnd w:id="3"/>
    </w:p>
    <w:p w14:paraId="724A9F1C" w14:textId="77777777" w:rsidR="00263BFF" w:rsidRPr="005A6D22" w:rsidRDefault="00263BFF" w:rsidP="005A6D22">
      <w:pPr>
        <w:jc w:val="both"/>
      </w:pPr>
    </w:p>
    <w:p w14:paraId="0BF40390" w14:textId="4D0958BB" w:rsidR="00AB1FAA" w:rsidRPr="005A6D22" w:rsidRDefault="00AB1FAA" w:rsidP="005A6D22">
      <w:pPr>
        <w:jc w:val="both"/>
      </w:pPr>
      <w:r w:rsidRPr="005A6D22">
        <w:t xml:space="preserve">Dans le monde des pôles de compétitivité français, SAFE Cluster (Security and Aerospace </w:t>
      </w:r>
      <w:proofErr w:type="spellStart"/>
      <w:r w:rsidRPr="005A6D22">
        <w:t>actors</w:t>
      </w:r>
      <w:proofErr w:type="spellEnd"/>
      <w:r w:rsidRPr="005A6D22">
        <w:t xml:space="preserve"> for the Future of </w:t>
      </w:r>
      <w:proofErr w:type="spellStart"/>
      <w:r w:rsidRPr="005A6D22">
        <w:t>Earth</w:t>
      </w:r>
      <w:proofErr w:type="spellEnd"/>
      <w:r w:rsidRPr="005A6D22">
        <w:t>) est le dernier né des Pôles de compétitivité issu de la fusion du Pôle Pégase et du Pôle Risques, pour créer un nouveau modèle de croissance et d’innovation</w:t>
      </w:r>
      <w:r w:rsidR="003B66BD" w:rsidRPr="005A6D22">
        <w:t xml:space="preserve">. Il </w:t>
      </w:r>
      <w:r w:rsidRPr="005A6D22">
        <w:t>vise à devenir le cluster européen de référence sur les solutions innovantes de sécurité globale.</w:t>
      </w:r>
    </w:p>
    <w:p w14:paraId="2B3950B4" w14:textId="77777777" w:rsidR="00AB1FAA" w:rsidRPr="005A6D22" w:rsidRDefault="00AB1FAA" w:rsidP="005A6D22">
      <w:pPr>
        <w:jc w:val="both"/>
      </w:pPr>
    </w:p>
    <w:p w14:paraId="50D9D55E" w14:textId="58E7382B" w:rsidR="00AB1FAA" w:rsidRPr="005A6D22" w:rsidRDefault="00AB1FAA" w:rsidP="005A6D22">
      <w:pPr>
        <w:jc w:val="both"/>
        <w:rPr>
          <w:rFonts w:cs="Arial"/>
        </w:rPr>
      </w:pPr>
      <w:r w:rsidRPr="005A6D22">
        <w:rPr>
          <w:rFonts w:cs="Arial"/>
        </w:rPr>
        <w:t>Le Pôle SAFE réunit plus de 6</w:t>
      </w:r>
      <w:r w:rsidRPr="005A6D22">
        <w:rPr>
          <w:rFonts w:cs="Arial"/>
          <w:b/>
        </w:rPr>
        <w:t>00 acteurs</w:t>
      </w:r>
      <w:r w:rsidRPr="005A6D22">
        <w:rPr>
          <w:rFonts w:cs="Arial"/>
        </w:rPr>
        <w:t xml:space="preserve"> parmi lesquels des leaders de cette industrie tels qu’</w:t>
      </w:r>
      <w:r w:rsidRPr="005A6D22">
        <w:rPr>
          <w:rFonts w:cs="Arial"/>
          <w:b/>
        </w:rPr>
        <w:t xml:space="preserve">Airbus </w:t>
      </w:r>
      <w:proofErr w:type="spellStart"/>
      <w:r w:rsidRPr="005A6D22">
        <w:rPr>
          <w:rFonts w:cs="Arial"/>
          <w:b/>
        </w:rPr>
        <w:t>Helicopters</w:t>
      </w:r>
      <w:proofErr w:type="spellEnd"/>
      <w:r w:rsidRPr="005A6D22">
        <w:rPr>
          <w:rFonts w:cs="Arial"/>
          <w:b/>
        </w:rPr>
        <w:t xml:space="preserve"> </w:t>
      </w:r>
      <w:r w:rsidRPr="005A6D22">
        <w:rPr>
          <w:rFonts w:cs="Arial"/>
        </w:rPr>
        <w:t>(premier</w:t>
      </w:r>
      <w:r w:rsidRPr="005A6D22">
        <w:rPr>
          <w:rFonts w:cs="Arial"/>
          <w:i/>
        </w:rPr>
        <w:t xml:space="preserve"> </w:t>
      </w:r>
      <w:r w:rsidRPr="005A6D22">
        <w:rPr>
          <w:rFonts w:cs="Arial"/>
        </w:rPr>
        <w:t xml:space="preserve">fabricant d’hélicoptères au monde), </w:t>
      </w:r>
      <w:r w:rsidR="003B66BD" w:rsidRPr="005A6D22">
        <w:rPr>
          <w:rFonts w:cs="Arial"/>
          <w:b/>
        </w:rPr>
        <w:t>Thale</w:t>
      </w:r>
      <w:r w:rsidRPr="005A6D22">
        <w:rPr>
          <w:rFonts w:cs="Arial"/>
          <w:b/>
        </w:rPr>
        <w:t xml:space="preserve">s Alenia </w:t>
      </w:r>
      <w:proofErr w:type="spellStart"/>
      <w:r w:rsidRPr="005A6D22">
        <w:rPr>
          <w:rFonts w:cs="Arial"/>
          <w:b/>
        </w:rPr>
        <w:t>Space</w:t>
      </w:r>
      <w:proofErr w:type="spellEnd"/>
      <w:r w:rsidRPr="005A6D22">
        <w:rPr>
          <w:rFonts w:cs="Arial"/>
        </w:rPr>
        <w:t xml:space="preserve"> (</w:t>
      </w:r>
      <w:r w:rsidR="003B66BD" w:rsidRPr="005A6D22">
        <w:rPr>
          <w:rFonts w:cs="Arial"/>
        </w:rPr>
        <w:t>leader mondial dans les domaines des télécommunications, de la navigation, de l’observation de la terre, de l’exploration et de la réalisat</w:t>
      </w:r>
      <w:r w:rsidR="00556CCB" w:rsidRPr="005A6D22">
        <w:rPr>
          <w:rFonts w:cs="Arial"/>
        </w:rPr>
        <w:t>ion d’infrastructures orbitales</w:t>
      </w:r>
      <w:r w:rsidRPr="005A6D22">
        <w:rPr>
          <w:rFonts w:cs="Arial"/>
        </w:rPr>
        <w:t xml:space="preserve">) mais aussi de </w:t>
      </w:r>
      <w:r w:rsidRPr="005A6D22">
        <w:rPr>
          <w:rFonts w:cs="Arial"/>
          <w:b/>
        </w:rPr>
        <w:t>nombreuses PME et des centres de recherche et de formation</w:t>
      </w:r>
      <w:r w:rsidRPr="005A6D22">
        <w:rPr>
          <w:rFonts w:cs="Arial"/>
        </w:rPr>
        <w:t xml:space="preserve">. </w:t>
      </w:r>
    </w:p>
    <w:p w14:paraId="2CCCFF6D" w14:textId="77777777" w:rsidR="00AB1FAA" w:rsidRPr="005A6D22" w:rsidRDefault="00AB1FAA" w:rsidP="005A6D22">
      <w:pPr>
        <w:jc w:val="both"/>
        <w:rPr>
          <w:rFonts w:cs="Arial"/>
        </w:rPr>
      </w:pPr>
    </w:p>
    <w:p w14:paraId="4F6FCE3D" w14:textId="10962325" w:rsidR="00AB1FAA" w:rsidRPr="005A6D22" w:rsidRDefault="00AB1FAA" w:rsidP="005A6D22">
      <w:pPr>
        <w:jc w:val="both"/>
        <w:rPr>
          <w:rFonts w:cs="Arial"/>
        </w:rPr>
      </w:pPr>
      <w:r w:rsidRPr="005A6D22">
        <w:rPr>
          <w:rFonts w:cs="Arial"/>
        </w:rPr>
        <w:t>Le pôle s’adresse à tous ceux qui détiennent les idées et compétences qui rendront les aéronefs plus performants dans leurs missions. L’industrie aéronautique et spatiale</w:t>
      </w:r>
      <w:r w:rsidR="003B66BD" w:rsidRPr="005A6D22">
        <w:rPr>
          <w:rFonts w:cs="Arial"/>
        </w:rPr>
        <w:t xml:space="preserve"> a par exemple besoin</w:t>
      </w:r>
      <w:r w:rsidRPr="005A6D22">
        <w:rPr>
          <w:rFonts w:cs="Arial"/>
        </w:rPr>
        <w:t xml:space="preserve"> de caméras et capteurs intelligents, de solutions énergétiques respectueuses du développement durable, de matériaux nouveaux qui permettront de rendre les avions et hélicoptères hermétiques à la pollution chimique, nucléaire…</w:t>
      </w:r>
    </w:p>
    <w:p w14:paraId="0F47EB9B" w14:textId="77777777" w:rsidR="00AB1FAA" w:rsidRPr="005A6D22" w:rsidRDefault="00AB1FAA" w:rsidP="005A6D22">
      <w:pPr>
        <w:jc w:val="both"/>
        <w:rPr>
          <w:rFonts w:cs="Arial"/>
        </w:rPr>
      </w:pPr>
    </w:p>
    <w:p w14:paraId="55264CEF" w14:textId="681769D8" w:rsidR="00AB1FAA" w:rsidRDefault="00AB1FAA" w:rsidP="005A6D22">
      <w:pPr>
        <w:jc w:val="both"/>
        <w:rPr>
          <w:rFonts w:cs="Arial"/>
        </w:rPr>
      </w:pPr>
      <w:r w:rsidRPr="005A6D22">
        <w:rPr>
          <w:rFonts w:cs="Arial"/>
        </w:rPr>
        <w:t xml:space="preserve">Son rôle est </w:t>
      </w:r>
      <w:r w:rsidR="00A660D6">
        <w:rPr>
          <w:rFonts w:cs="Arial"/>
        </w:rPr>
        <w:t>notamment</w:t>
      </w:r>
      <w:r w:rsidRPr="005A6D22">
        <w:rPr>
          <w:rFonts w:cs="Arial"/>
        </w:rPr>
        <w:t xml:space="preserve"> de promouvoir la filière aéronautique et spatiale de la région PACA notamment à travers le savoir-faire de ses entreprises. A ce titre, le Pôle accompagne depuis plusieurs années les entreprises régionales </w:t>
      </w:r>
      <w:r w:rsidR="00A660D6">
        <w:rPr>
          <w:rFonts w:cs="Arial"/>
        </w:rPr>
        <w:t>au</w:t>
      </w:r>
      <w:r w:rsidRPr="005A6D22">
        <w:rPr>
          <w:rFonts w:cs="Arial"/>
        </w:rPr>
        <w:t xml:space="preserve"> Salon du Bourget. </w:t>
      </w:r>
    </w:p>
    <w:p w14:paraId="34EB4683" w14:textId="77777777" w:rsidR="00327F46" w:rsidRPr="005A6D22" w:rsidRDefault="00327F46" w:rsidP="005A6D22">
      <w:pPr>
        <w:jc w:val="both"/>
        <w:rPr>
          <w:rFonts w:cs="Arial"/>
        </w:rPr>
      </w:pPr>
    </w:p>
    <w:p w14:paraId="5365DABD" w14:textId="77777777" w:rsidR="00AB1FAA" w:rsidRPr="005A6D22" w:rsidRDefault="00AB1FAA" w:rsidP="00ED79F5">
      <w:pPr>
        <w:pStyle w:val="Titre2"/>
      </w:pPr>
      <w:bookmarkStart w:id="4" w:name="_Toc455669006"/>
      <w:r w:rsidRPr="005A6D22">
        <w:t>Le salon aéronautique et spatial du Bourget</w:t>
      </w:r>
      <w:bookmarkEnd w:id="4"/>
    </w:p>
    <w:p w14:paraId="0585726F" w14:textId="77777777" w:rsidR="00AB1FAA" w:rsidRPr="005A6D22" w:rsidRDefault="00AB1FAA" w:rsidP="005A6D22">
      <w:pPr>
        <w:jc w:val="both"/>
      </w:pPr>
    </w:p>
    <w:p w14:paraId="12F0B107" w14:textId="77777777" w:rsidR="00D70804" w:rsidRPr="005A6D22" w:rsidRDefault="00D70804" w:rsidP="005A6D22">
      <w:pPr>
        <w:jc w:val="both"/>
        <w:rPr>
          <w:rStyle w:val="apple-style-span"/>
        </w:rPr>
      </w:pPr>
      <w:r w:rsidRPr="005A6D22">
        <w:rPr>
          <w:rStyle w:val="apple-style-span"/>
        </w:rPr>
        <w:t xml:space="preserve">Le salon international de l’aéronautique et de l’espace de Paris-Le Bourget nommé plus communément par le Salon du Bourget est un évènement incontournable dans le monde industriel aéronautique et spatial. Lancé pour la première fois en 1908, il aura lieu pour la 52ème édition du 19 au 25 juin 2017. </w:t>
      </w:r>
    </w:p>
    <w:p w14:paraId="449FDAC5" w14:textId="77777777" w:rsidR="000A500B" w:rsidRDefault="000A500B" w:rsidP="005A6D22">
      <w:pPr>
        <w:jc w:val="both"/>
        <w:rPr>
          <w:rStyle w:val="apple-style-span"/>
        </w:rPr>
      </w:pPr>
    </w:p>
    <w:p w14:paraId="74676A1C" w14:textId="36C41FC0" w:rsidR="00AB1FAA" w:rsidRPr="005A6D22" w:rsidRDefault="00AB1FAA" w:rsidP="005A6D22">
      <w:pPr>
        <w:jc w:val="both"/>
        <w:rPr>
          <w:rStyle w:val="apple-style-span"/>
        </w:rPr>
      </w:pPr>
      <w:r w:rsidRPr="005A6D22">
        <w:rPr>
          <w:rStyle w:val="apple-style-span"/>
        </w:rPr>
        <w:t>En 2015, avec près de 2 303 Exposants en provenance de 48 pays, 351 584 visiteurs dont 149 947 visiteurs professionnels, 4359 journalistes et 296 délégations officielles, le Salon reste incontestablement un des moments-clés de la vie économique de son industrie. C’est l’évènement privilégié pour rencontrer tous les professionnels de l’aéronautique et de l’espace, découvrir les dernières nouveautés et innovations, admirer plus de 150 aéronefs exposés et assister à des présentations en vol exceptionnelles.</w:t>
      </w:r>
    </w:p>
    <w:p w14:paraId="6BA97CEA" w14:textId="77777777" w:rsidR="00ED79F5" w:rsidRDefault="00ED79F5" w:rsidP="005A6D22">
      <w:pPr>
        <w:jc w:val="both"/>
      </w:pPr>
    </w:p>
    <w:p w14:paraId="602A04A2" w14:textId="77777777" w:rsidR="00ED79F5" w:rsidRDefault="00ED79F5" w:rsidP="005A6D22">
      <w:pPr>
        <w:jc w:val="both"/>
      </w:pPr>
    </w:p>
    <w:p w14:paraId="4D2EA3A5" w14:textId="43989827" w:rsidR="00451CA3" w:rsidRPr="005A6D22" w:rsidRDefault="00971B8A" w:rsidP="00ED79F5">
      <w:pPr>
        <w:pStyle w:val="Titre1"/>
      </w:pPr>
      <w:bookmarkStart w:id="5" w:name="_Toc455669007"/>
      <w:r w:rsidRPr="005A6D22">
        <w:t>ENJEU</w:t>
      </w:r>
      <w:r w:rsidR="000A500B">
        <w:t>X</w:t>
      </w:r>
      <w:bookmarkEnd w:id="5"/>
    </w:p>
    <w:p w14:paraId="1148C2D7" w14:textId="77777777" w:rsidR="00451CA3" w:rsidRPr="005A6D22" w:rsidRDefault="00451CA3" w:rsidP="005A6D22">
      <w:pPr>
        <w:jc w:val="both"/>
      </w:pPr>
    </w:p>
    <w:p w14:paraId="01882C4C" w14:textId="5F985A28" w:rsidR="00D70804" w:rsidRPr="005A6D22" w:rsidRDefault="00D70804" w:rsidP="005A6D22">
      <w:pPr>
        <w:jc w:val="both"/>
        <w:rPr>
          <w:rFonts w:eastAsia="Calibri"/>
        </w:rPr>
      </w:pPr>
      <w:r w:rsidRPr="005A6D22">
        <w:rPr>
          <w:rFonts w:eastAsia="Calibri"/>
        </w:rPr>
        <w:t xml:space="preserve">L’accompagnement des entreprises de la région Provence-Alpes-Côte d’Azur au salon du Bourget 2017 vise à faciliter la participation des entreprises régionales à ce salon d’envergure internationale. </w:t>
      </w:r>
    </w:p>
    <w:p w14:paraId="7F2C1852" w14:textId="77777777" w:rsidR="009C2D71" w:rsidRDefault="009C2D71" w:rsidP="005A6D22">
      <w:pPr>
        <w:jc w:val="both"/>
        <w:rPr>
          <w:rFonts w:eastAsia="Calibri"/>
        </w:rPr>
      </w:pPr>
    </w:p>
    <w:p w14:paraId="1741FD6D" w14:textId="01367A21" w:rsidR="00D70804" w:rsidRPr="005A6D22" w:rsidRDefault="00D70804" w:rsidP="005A6D22">
      <w:pPr>
        <w:jc w:val="both"/>
        <w:rPr>
          <w:rFonts w:eastAsia="Calibri"/>
        </w:rPr>
      </w:pPr>
      <w:r w:rsidRPr="005A6D22">
        <w:rPr>
          <w:rFonts w:eastAsia="Calibri"/>
        </w:rPr>
        <w:t>L’ambition 2017 est également de promouvoir le savoir-faire régional et l’offre technopolitaine que les partenaires du développement économique développent pour soutenir la croissance des entreprises.</w:t>
      </w:r>
      <w:r w:rsidR="006C1A24" w:rsidRPr="005A6D22">
        <w:rPr>
          <w:rFonts w:eastAsia="Calibri"/>
        </w:rPr>
        <w:t xml:space="preserve"> En particulier </w:t>
      </w:r>
      <w:r w:rsidR="009D5E08" w:rsidRPr="005A6D22">
        <w:rPr>
          <w:rFonts w:eastAsia="Calibri"/>
        </w:rPr>
        <w:t>les programmes structurants de la région (plateformes technologiques, zones d’activité, zones d’essais, …) </w:t>
      </w:r>
      <w:r w:rsidR="009C2D71">
        <w:rPr>
          <w:rFonts w:eastAsia="Calibri"/>
        </w:rPr>
        <w:t>tels que</w:t>
      </w:r>
      <w:r w:rsidR="009D5E08" w:rsidRPr="005A6D22">
        <w:rPr>
          <w:rFonts w:eastAsia="Calibri"/>
        </w:rPr>
        <w:t xml:space="preserve"> </w:t>
      </w:r>
      <w:r w:rsidR="006C1A24" w:rsidRPr="005A6D22">
        <w:rPr>
          <w:rFonts w:eastAsia="Calibri"/>
        </w:rPr>
        <w:t>le projet Henri-</w:t>
      </w:r>
      <w:r w:rsidRPr="005A6D22">
        <w:rPr>
          <w:rFonts w:eastAsia="Calibri"/>
        </w:rPr>
        <w:t xml:space="preserve">Fabre mais aussi le Technopôle d’Avignon (ainsi que le Provence RPAS Network), la zone </w:t>
      </w:r>
      <w:proofErr w:type="spellStart"/>
      <w:r w:rsidRPr="005A6D22">
        <w:rPr>
          <w:rFonts w:eastAsia="Calibri"/>
        </w:rPr>
        <w:t>Airship</w:t>
      </w:r>
      <w:proofErr w:type="spellEnd"/>
      <w:r w:rsidRPr="005A6D22">
        <w:rPr>
          <w:rFonts w:eastAsia="Calibri"/>
        </w:rPr>
        <w:t xml:space="preserve"> Village d’</w:t>
      </w:r>
      <w:r w:rsidR="006C1A24" w:rsidRPr="005A6D22">
        <w:rPr>
          <w:rFonts w:eastAsia="Calibri"/>
        </w:rPr>
        <w:t>Istres</w:t>
      </w:r>
      <w:r w:rsidRPr="005A6D22">
        <w:rPr>
          <w:rFonts w:eastAsia="Calibri"/>
        </w:rPr>
        <w:t xml:space="preserve"> et la Technopole de la Mer dans le Var.</w:t>
      </w:r>
    </w:p>
    <w:p w14:paraId="5FE57B68" w14:textId="77777777" w:rsidR="00971B8A" w:rsidRPr="005A6D22" w:rsidRDefault="00971B8A" w:rsidP="005A6D22">
      <w:pPr>
        <w:jc w:val="both"/>
      </w:pPr>
    </w:p>
    <w:p w14:paraId="1D02EA29" w14:textId="1C4F2D88" w:rsidR="00D70804" w:rsidRPr="00F52FD3" w:rsidRDefault="00783663" w:rsidP="005A6D22">
      <w:pPr>
        <w:jc w:val="both"/>
      </w:pPr>
      <w:r w:rsidRPr="00F52FD3">
        <w:lastRenderedPageBreak/>
        <w:t>Il est demandé au prestataire de mener une réflexion sur la conception du stand selon les critères suivants :</w:t>
      </w:r>
    </w:p>
    <w:p w14:paraId="13DDDF78" w14:textId="77777777" w:rsidR="00D70804" w:rsidRPr="00F52FD3" w:rsidRDefault="00D70804" w:rsidP="005A6D22">
      <w:pPr>
        <w:jc w:val="both"/>
      </w:pPr>
    </w:p>
    <w:p w14:paraId="1701E102" w14:textId="77777777" w:rsidR="00AB1FAA" w:rsidRPr="00F52FD3" w:rsidRDefault="00AB1FAA" w:rsidP="00785501">
      <w:pPr>
        <w:pStyle w:val="Paragraphedeliste"/>
        <w:numPr>
          <w:ilvl w:val="0"/>
          <w:numId w:val="8"/>
        </w:numPr>
        <w:jc w:val="both"/>
        <w:rPr>
          <w:rStyle w:val="apple-style-span"/>
        </w:rPr>
      </w:pPr>
      <w:r w:rsidRPr="00F52FD3">
        <w:rPr>
          <w:rStyle w:val="apple-style-span"/>
        </w:rPr>
        <w:t xml:space="preserve">Permettre une identification immédiate au regard des autres stands situés dans le Hall 4. Le stand des entreprises de la région PACA s’étendra sur une surface de 400 mètres carré. C’est par l’originalité, la créativité qu’il faudra garantir la visibilité du stand. </w:t>
      </w:r>
    </w:p>
    <w:p w14:paraId="3E21B928" w14:textId="77777777" w:rsidR="00AB1FAA" w:rsidRPr="00F52FD3" w:rsidRDefault="00AB1FAA" w:rsidP="00785501">
      <w:pPr>
        <w:pStyle w:val="Paragraphedeliste"/>
        <w:numPr>
          <w:ilvl w:val="0"/>
          <w:numId w:val="8"/>
        </w:numPr>
        <w:jc w:val="both"/>
        <w:rPr>
          <w:rStyle w:val="apple-style-span"/>
        </w:rPr>
      </w:pPr>
      <w:r w:rsidRPr="00F52FD3">
        <w:rPr>
          <w:rStyle w:val="apple-style-span"/>
        </w:rPr>
        <w:t xml:space="preserve">Servir de vitrine aux savoir-faire des entreprises  </w:t>
      </w:r>
    </w:p>
    <w:p w14:paraId="2EC90C8C" w14:textId="77777777" w:rsidR="00AB1FAA" w:rsidRPr="00F52FD3" w:rsidRDefault="00AB1FAA" w:rsidP="00785501">
      <w:pPr>
        <w:pStyle w:val="Paragraphedeliste"/>
        <w:numPr>
          <w:ilvl w:val="0"/>
          <w:numId w:val="8"/>
        </w:numPr>
        <w:jc w:val="both"/>
        <w:rPr>
          <w:rStyle w:val="apple-style-span"/>
        </w:rPr>
      </w:pPr>
      <w:r w:rsidRPr="00F52FD3">
        <w:rPr>
          <w:rStyle w:val="apple-style-span"/>
        </w:rPr>
        <w:t>Offrir un espace attractif de rendez-vous d’affaires pour les exposants et leurs prospects cibles (mezzanine de 50 m²)</w:t>
      </w:r>
    </w:p>
    <w:p w14:paraId="71F3289A" w14:textId="3C9FB368" w:rsidR="00AB1FAA" w:rsidRPr="00F52FD3" w:rsidRDefault="00AB1FAA" w:rsidP="00785501">
      <w:pPr>
        <w:pStyle w:val="Paragraphedeliste"/>
        <w:numPr>
          <w:ilvl w:val="0"/>
          <w:numId w:val="8"/>
        </w:numPr>
        <w:jc w:val="both"/>
        <w:rPr>
          <w:rStyle w:val="apple-style-span"/>
          <w:rFonts w:eastAsia="Arial Narrow"/>
        </w:rPr>
      </w:pPr>
      <w:r w:rsidRPr="00F52FD3">
        <w:rPr>
          <w:rStyle w:val="apple-style-span"/>
        </w:rPr>
        <w:t>Offrir un espace convivial de rencontres et d’animation pour les exposants et visiteurs (</w:t>
      </w:r>
      <w:r w:rsidR="00F52FD3" w:rsidRPr="00F52FD3">
        <w:rPr>
          <w:rStyle w:val="apple-style-span"/>
        </w:rPr>
        <w:t>showroom</w:t>
      </w:r>
      <w:r w:rsidRPr="00F52FD3">
        <w:rPr>
          <w:rStyle w:val="apple-style-span"/>
        </w:rPr>
        <w:t>)</w:t>
      </w:r>
    </w:p>
    <w:p w14:paraId="725F46A5" w14:textId="4D19C5EF" w:rsidR="009C2D71" w:rsidRPr="00F52FD3" w:rsidRDefault="009C2D71" w:rsidP="00785501">
      <w:pPr>
        <w:pStyle w:val="Paragraphedeliste"/>
        <w:numPr>
          <w:ilvl w:val="0"/>
          <w:numId w:val="8"/>
        </w:numPr>
        <w:jc w:val="both"/>
        <w:rPr>
          <w:rStyle w:val="apple-style-span"/>
          <w:rFonts w:eastAsia="Arial Narrow"/>
        </w:rPr>
      </w:pPr>
      <w:r w:rsidRPr="00F52FD3">
        <w:rPr>
          <w:rStyle w:val="apple-style-span"/>
        </w:rPr>
        <w:t>Etc…</w:t>
      </w:r>
    </w:p>
    <w:p w14:paraId="13292F32" w14:textId="77777777" w:rsidR="00AB1FAA" w:rsidRPr="005A6D22" w:rsidRDefault="00AB1FAA" w:rsidP="005A6D22">
      <w:pPr>
        <w:jc w:val="both"/>
      </w:pPr>
    </w:p>
    <w:p w14:paraId="01BC2179" w14:textId="77777777" w:rsidR="00971B8A" w:rsidRPr="005A6D22" w:rsidRDefault="00971B8A" w:rsidP="005A6D22">
      <w:pPr>
        <w:jc w:val="both"/>
      </w:pPr>
    </w:p>
    <w:p w14:paraId="1455ED87" w14:textId="77777777" w:rsidR="00562660" w:rsidRPr="005A6D22" w:rsidRDefault="00562660" w:rsidP="00ED79F5">
      <w:pPr>
        <w:pStyle w:val="Titre1"/>
      </w:pPr>
      <w:bookmarkStart w:id="6" w:name="_Toc455669008"/>
      <w:r w:rsidRPr="005A6D22">
        <w:t>CARACTERISTIQUES DE LA PRESTATION</w:t>
      </w:r>
      <w:bookmarkEnd w:id="6"/>
    </w:p>
    <w:p w14:paraId="3F861C33" w14:textId="77777777" w:rsidR="00562660" w:rsidRPr="005A6D22" w:rsidRDefault="00562660" w:rsidP="005A6D22">
      <w:pPr>
        <w:jc w:val="both"/>
        <w:rPr>
          <w:rFonts w:cs="Arial Narrow"/>
          <w:b/>
          <w:bCs/>
        </w:rPr>
      </w:pPr>
    </w:p>
    <w:p w14:paraId="16F4A74C" w14:textId="77777777" w:rsidR="00562660" w:rsidRPr="005A6D22" w:rsidRDefault="00562660" w:rsidP="00ED79F5">
      <w:pPr>
        <w:pStyle w:val="Titre2"/>
        <w:rPr>
          <w:rFonts w:cs="Arial Narrow"/>
          <w:color w:val="000000"/>
        </w:rPr>
      </w:pPr>
      <w:bookmarkStart w:id="7" w:name="_Toc455669009"/>
      <w:r w:rsidRPr="005A6D22">
        <w:t>Présentation des espaces et leurs aménagements</w:t>
      </w:r>
      <w:bookmarkEnd w:id="7"/>
    </w:p>
    <w:p w14:paraId="42C2CF1F" w14:textId="3616E789" w:rsidR="00562660" w:rsidRPr="005A6D22" w:rsidRDefault="00562660" w:rsidP="005A6D22">
      <w:pPr>
        <w:jc w:val="both"/>
        <w:rPr>
          <w:rFonts w:cs="Arial"/>
          <w:color w:val="000000"/>
        </w:rPr>
      </w:pPr>
      <w:r w:rsidRPr="005A6D22">
        <w:rPr>
          <w:color w:val="000000"/>
        </w:rPr>
        <w:t xml:space="preserve">La surface totale au sol du stand est de </w:t>
      </w:r>
      <w:r w:rsidR="00ED79F5">
        <w:rPr>
          <w:b/>
          <w:bCs/>
          <w:color w:val="000000"/>
        </w:rPr>
        <w:t xml:space="preserve">400 m² </w:t>
      </w:r>
      <w:r w:rsidRPr="005A6D22">
        <w:rPr>
          <w:color w:val="000000"/>
        </w:rPr>
        <w:t xml:space="preserve">divisée en 2 unités situées de part et d’autre d’une allée. </w:t>
      </w:r>
      <w:r w:rsidR="00A660D6">
        <w:rPr>
          <w:color w:val="000000"/>
        </w:rPr>
        <w:t xml:space="preserve">En principe, le pavillon sera situé dans le Hall4. En date de ce jour, aucun plan d’implantation n’est disponible. Le </w:t>
      </w:r>
      <w:r w:rsidRPr="005A6D22">
        <w:rPr>
          <w:color w:val="000000"/>
        </w:rPr>
        <w:t xml:space="preserve">plan </w:t>
      </w:r>
      <w:r w:rsidR="00A660D6">
        <w:rPr>
          <w:color w:val="000000"/>
        </w:rPr>
        <w:t>sera</w:t>
      </w:r>
      <w:r w:rsidRPr="005A6D22">
        <w:rPr>
          <w:color w:val="000000"/>
        </w:rPr>
        <w:t xml:space="preserve"> fourni dès que possible. </w:t>
      </w:r>
    </w:p>
    <w:p w14:paraId="28F46D4B" w14:textId="77777777" w:rsidR="00A660D6" w:rsidRDefault="00A660D6" w:rsidP="005A6D22">
      <w:pPr>
        <w:jc w:val="both"/>
        <w:rPr>
          <w:color w:val="000000"/>
        </w:rPr>
      </w:pPr>
    </w:p>
    <w:p w14:paraId="4690C129" w14:textId="77777777" w:rsidR="00562660" w:rsidRPr="005A6D22" w:rsidRDefault="00562660" w:rsidP="005A6D22">
      <w:pPr>
        <w:jc w:val="both"/>
        <w:rPr>
          <w:b/>
          <w:color w:val="000080"/>
        </w:rPr>
      </w:pPr>
      <w:r w:rsidRPr="005A6D22">
        <w:rPr>
          <w:color w:val="000000"/>
        </w:rPr>
        <w:t>L’espace du stand  de la filière aéronautique de la région PACA devra obligatoirement comprendre les éléments suivants :</w:t>
      </w:r>
    </w:p>
    <w:p w14:paraId="08464E17" w14:textId="77777777" w:rsidR="00783663" w:rsidRPr="005A6D22" w:rsidRDefault="00783663" w:rsidP="005A6D22">
      <w:pPr>
        <w:jc w:val="both"/>
        <w:rPr>
          <w:b/>
          <w:bCs/>
        </w:rPr>
      </w:pPr>
    </w:p>
    <w:p w14:paraId="6903E83D" w14:textId="77777777" w:rsidR="00783663" w:rsidRPr="005A6D22" w:rsidRDefault="00783663" w:rsidP="005A6D22">
      <w:pPr>
        <w:jc w:val="both"/>
      </w:pPr>
    </w:p>
    <w:p w14:paraId="2E44A5F9" w14:textId="77777777" w:rsidR="00562660" w:rsidRPr="005A6D22" w:rsidRDefault="00562660" w:rsidP="00785501">
      <w:pPr>
        <w:pStyle w:val="Paragraphedeliste"/>
        <w:numPr>
          <w:ilvl w:val="0"/>
          <w:numId w:val="9"/>
        </w:numPr>
        <w:jc w:val="both"/>
      </w:pPr>
      <w:r w:rsidRPr="009C2D71">
        <w:rPr>
          <w:b/>
          <w:color w:val="000080"/>
        </w:rPr>
        <w:t xml:space="preserve">Un espace d’accueil général d’environ 50 mètres carrés </w:t>
      </w:r>
      <w:r w:rsidRPr="005A6D22">
        <w:t xml:space="preserve">qui devra : </w:t>
      </w:r>
    </w:p>
    <w:p w14:paraId="1AA00858" w14:textId="1006AA86" w:rsidR="00562660" w:rsidRPr="005A6D22" w:rsidRDefault="00562660" w:rsidP="00785501">
      <w:pPr>
        <w:pStyle w:val="Paragraphedeliste"/>
        <w:numPr>
          <w:ilvl w:val="2"/>
          <w:numId w:val="9"/>
        </w:numPr>
        <w:jc w:val="both"/>
      </w:pPr>
      <w:r w:rsidRPr="005A6D22">
        <w:t>prévoir un espace de convivialité. Cet espace qui accueillera des réceptions devra être aménagé (bar, espace de rangement, réserve fermée à clé, guéridons et tabourets hauts, fauteuil ou chauffeuses, frigidaire</w:t>
      </w:r>
      <w:r w:rsidR="00783663" w:rsidRPr="005A6D22">
        <w:t>, fontaine à eau avec gobelets, machine à café et fourniture de dosettes, grande corbeille</w:t>
      </w:r>
      <w:r w:rsidRPr="005A6D22">
        <w:t>) ;</w:t>
      </w:r>
    </w:p>
    <w:p w14:paraId="086CC501" w14:textId="6397C884" w:rsidR="00562660" w:rsidRPr="005A6D22" w:rsidRDefault="00562660" w:rsidP="00785501">
      <w:pPr>
        <w:pStyle w:val="Paragraphedeliste"/>
        <w:numPr>
          <w:ilvl w:val="2"/>
          <w:numId w:val="9"/>
        </w:numPr>
        <w:jc w:val="both"/>
      </w:pPr>
      <w:r w:rsidRPr="005A6D22">
        <w:t>disposer d’un écran de grande dimension ainsi que d’une carte de la région PACA mettant en valeur ses différents projets territoriaux pour l’industrie aéronautique et spatiale (sous forme de carte intégrée au stand ou sous forme d’écran) ;</w:t>
      </w:r>
    </w:p>
    <w:p w14:paraId="4FCE7135" w14:textId="17287A71" w:rsidR="00562660" w:rsidRPr="005A6D22" w:rsidRDefault="00562660" w:rsidP="00785501">
      <w:pPr>
        <w:pStyle w:val="Paragraphedeliste"/>
        <w:numPr>
          <w:ilvl w:val="2"/>
          <w:numId w:val="9"/>
        </w:numPr>
        <w:jc w:val="both"/>
      </w:pPr>
      <w:r w:rsidRPr="005A6D22">
        <w:t>Dans cet espace sera également organisé des conférences thématiques : il conviendrait de prévoir une sonorisation et des ence</w:t>
      </w:r>
      <w:r w:rsidR="00A660D6">
        <w:t>intes tournées vers les allées ainsi qu’un espace facilement modulable.</w:t>
      </w:r>
    </w:p>
    <w:p w14:paraId="3DD9E0C9" w14:textId="77777777" w:rsidR="00562660" w:rsidRPr="005A6D22" w:rsidRDefault="00562660" w:rsidP="005A6D22">
      <w:pPr>
        <w:jc w:val="both"/>
      </w:pPr>
    </w:p>
    <w:p w14:paraId="239AD663" w14:textId="77777777" w:rsidR="00A660D6" w:rsidRPr="00A660D6" w:rsidRDefault="00562660" w:rsidP="00A660D6">
      <w:pPr>
        <w:pStyle w:val="Paragraphedeliste"/>
        <w:numPr>
          <w:ilvl w:val="0"/>
          <w:numId w:val="9"/>
        </w:numPr>
        <w:jc w:val="both"/>
      </w:pPr>
      <w:r w:rsidRPr="009C2D71">
        <w:rPr>
          <w:b/>
          <w:color w:val="000080"/>
        </w:rPr>
        <w:t>Un espace « Agences de Développement » destiné à accueillir les partenaires et les agences de développement :</w:t>
      </w:r>
    </w:p>
    <w:p w14:paraId="6438EB08" w14:textId="2A050E81" w:rsidR="00562660" w:rsidRPr="005A6D22" w:rsidRDefault="00A660D6" w:rsidP="00A660D6">
      <w:pPr>
        <w:pStyle w:val="Paragraphedeliste"/>
        <w:jc w:val="both"/>
      </w:pPr>
      <w:r>
        <w:t>Dédié à la promotion du territoire, c</w:t>
      </w:r>
      <w:r w:rsidR="00562660" w:rsidRPr="005A6D22">
        <w:t xml:space="preserve">et espace </w:t>
      </w:r>
      <w:r>
        <w:t xml:space="preserve">d’environ 30 m² </w:t>
      </w:r>
      <w:r w:rsidR="00562660" w:rsidRPr="005A6D22">
        <w:t>devra être</w:t>
      </w:r>
      <w:r>
        <w:t xml:space="preserve"> aménagé (table, chaises) et situé à proximité de l’espace Accueil.</w:t>
      </w:r>
    </w:p>
    <w:p w14:paraId="0DFEDEA6" w14:textId="77777777" w:rsidR="009C2D71" w:rsidRDefault="009C2D71" w:rsidP="005A6D22">
      <w:pPr>
        <w:jc w:val="both"/>
        <w:rPr>
          <w:b/>
          <w:color w:val="000080"/>
        </w:rPr>
      </w:pPr>
    </w:p>
    <w:p w14:paraId="769D8B96" w14:textId="77777777" w:rsidR="00562660" w:rsidRPr="009C2D71" w:rsidRDefault="00562660" w:rsidP="00785501">
      <w:pPr>
        <w:pStyle w:val="Paragraphedeliste"/>
        <w:numPr>
          <w:ilvl w:val="0"/>
          <w:numId w:val="10"/>
        </w:numPr>
        <w:jc w:val="both"/>
        <w:rPr>
          <w:b/>
          <w:color w:val="000080"/>
        </w:rPr>
      </w:pPr>
      <w:r w:rsidRPr="009C2D71">
        <w:rPr>
          <w:b/>
          <w:color w:val="000080"/>
        </w:rPr>
        <w:t>Un show-room de présentation</w:t>
      </w:r>
      <w:r w:rsidRPr="005A6D22">
        <w:t xml:space="preserve"> de produits technologiques fournis par les exposants : mini-drones, maquettes, composants, etc. Cet espace devra être le fer de lance de l’attractivité du stand régional, immédiatement visible et identifiable par les visiteurs. Il devra être moderne et être situé de préférence à proximité immédiate de l’allée principale. Il conviendra de prévoir des vitrines sécurisées pour exposer les prototypes.</w:t>
      </w:r>
    </w:p>
    <w:p w14:paraId="57C1055B" w14:textId="77777777" w:rsidR="009C2D71" w:rsidRDefault="009C2D71" w:rsidP="005A6D22">
      <w:pPr>
        <w:jc w:val="both"/>
        <w:rPr>
          <w:b/>
          <w:color w:val="000080"/>
        </w:rPr>
      </w:pPr>
    </w:p>
    <w:p w14:paraId="55B28023" w14:textId="77777777" w:rsidR="00F52FD3" w:rsidRDefault="00F52FD3" w:rsidP="005A6D22">
      <w:pPr>
        <w:jc w:val="both"/>
        <w:rPr>
          <w:b/>
          <w:color w:val="000080"/>
        </w:rPr>
      </w:pPr>
    </w:p>
    <w:p w14:paraId="3BEA9302" w14:textId="77777777" w:rsidR="00F52FD3" w:rsidRDefault="00F52FD3" w:rsidP="005A6D22">
      <w:pPr>
        <w:jc w:val="both"/>
        <w:rPr>
          <w:b/>
          <w:color w:val="000080"/>
        </w:rPr>
      </w:pPr>
    </w:p>
    <w:p w14:paraId="454C48C4" w14:textId="77777777" w:rsidR="009C2D71" w:rsidRPr="009C2D71" w:rsidRDefault="00562660" w:rsidP="00785501">
      <w:pPr>
        <w:pStyle w:val="Paragraphedeliste"/>
        <w:numPr>
          <w:ilvl w:val="0"/>
          <w:numId w:val="10"/>
        </w:numPr>
        <w:jc w:val="both"/>
        <w:rPr>
          <w:b/>
          <w:color w:val="000080"/>
        </w:rPr>
      </w:pPr>
      <w:r w:rsidRPr="009C2D71">
        <w:rPr>
          <w:b/>
          <w:color w:val="000080"/>
        </w:rPr>
        <w:lastRenderedPageBreak/>
        <w:t>Un espace Salon de rencontres d’affaires</w:t>
      </w:r>
      <w:r w:rsidRPr="005A6D22">
        <w:t xml:space="preserve"> </w:t>
      </w:r>
    </w:p>
    <w:p w14:paraId="1500F919" w14:textId="1A906D42" w:rsidR="00562660" w:rsidRPr="009C2D71" w:rsidRDefault="00562660" w:rsidP="009C2D71">
      <w:pPr>
        <w:pStyle w:val="Paragraphedeliste"/>
        <w:jc w:val="both"/>
        <w:rPr>
          <w:b/>
          <w:color w:val="000080"/>
        </w:rPr>
      </w:pPr>
      <w:r w:rsidRPr="005A6D22">
        <w:t xml:space="preserve">Cet espace sera aménagé en mezzanine de </w:t>
      </w:r>
      <w:r w:rsidRPr="009C2D71">
        <w:rPr>
          <w:b/>
          <w:bCs/>
        </w:rPr>
        <w:t xml:space="preserve">50 m², </w:t>
      </w:r>
      <w:r w:rsidRPr="005A6D22">
        <w:t>par exemple au-dessus de l’espace d’accueil pour que l’accès puisse en être facilement contrôlé.</w:t>
      </w:r>
      <w:r w:rsidRPr="009C2D71">
        <w:rPr>
          <w:b/>
          <w:color w:val="000080"/>
        </w:rPr>
        <w:t xml:space="preserve"> </w:t>
      </w:r>
      <w:r w:rsidRPr="005A6D22">
        <w:t>Il devra avoir</w:t>
      </w:r>
      <w:r w:rsidRPr="009C2D71">
        <w:rPr>
          <w:b/>
          <w:color w:val="000080"/>
        </w:rPr>
        <w:t xml:space="preserve"> </w:t>
      </w:r>
      <w:r w:rsidRPr="005A6D22">
        <w:t xml:space="preserve">une capacité mixte reconfigurable en salon de rendez-vous d’affaires personnalisable (écran) / espace conférence pour permettre à chaque entreprise d’afficher ses informations propres lors de ses rendez-vous. </w:t>
      </w:r>
    </w:p>
    <w:p w14:paraId="5D02A618" w14:textId="77777777" w:rsidR="00562660" w:rsidRDefault="00562660" w:rsidP="005A6D22">
      <w:pPr>
        <w:jc w:val="both"/>
        <w:rPr>
          <w:b/>
          <w:color w:val="000080"/>
        </w:rPr>
      </w:pPr>
    </w:p>
    <w:p w14:paraId="31169AD4" w14:textId="77777777" w:rsidR="00F52FD3" w:rsidRPr="005A6D22" w:rsidRDefault="00F52FD3" w:rsidP="005A6D22">
      <w:pPr>
        <w:jc w:val="both"/>
        <w:rPr>
          <w:b/>
          <w:color w:val="000080"/>
        </w:rPr>
      </w:pPr>
    </w:p>
    <w:p w14:paraId="5F8E9460" w14:textId="3A671302" w:rsidR="00562660" w:rsidRDefault="009C2D71" w:rsidP="00785501">
      <w:pPr>
        <w:pStyle w:val="Paragraphedeliste"/>
        <w:numPr>
          <w:ilvl w:val="0"/>
          <w:numId w:val="10"/>
        </w:numPr>
        <w:jc w:val="both"/>
        <w:rPr>
          <w:b/>
          <w:color w:val="000080"/>
        </w:rPr>
      </w:pPr>
      <w:r>
        <w:rPr>
          <w:b/>
          <w:color w:val="000080"/>
        </w:rPr>
        <w:t>D</w:t>
      </w:r>
      <w:r w:rsidR="00562660" w:rsidRPr="009C2D71">
        <w:rPr>
          <w:b/>
          <w:color w:val="000080"/>
        </w:rPr>
        <w:t xml:space="preserve">es stands </w:t>
      </w:r>
      <w:r w:rsidR="00D37744">
        <w:rPr>
          <w:b/>
          <w:color w:val="000080"/>
        </w:rPr>
        <w:t>individuels par multiple de 6m²</w:t>
      </w:r>
    </w:p>
    <w:p w14:paraId="1F0A3BDD" w14:textId="7167B1D0" w:rsidR="00A660D6" w:rsidRDefault="00A660D6" w:rsidP="00FC76CE">
      <w:pPr>
        <w:pStyle w:val="Paragraphedeliste"/>
        <w:numPr>
          <w:ilvl w:val="0"/>
          <w:numId w:val="14"/>
        </w:numPr>
        <w:jc w:val="both"/>
      </w:pPr>
      <w:r>
        <w:t xml:space="preserve">Il est demandé au </w:t>
      </w:r>
      <w:r w:rsidR="00FC76CE">
        <w:t>prestataire</w:t>
      </w:r>
      <w:r>
        <w:t xml:space="preserve"> de réfléchir d’ores et déjà à un meilleur agencement possible </w:t>
      </w:r>
      <w:r w:rsidR="00FC76CE">
        <w:t>de ces espaces, en prenant en compte les surfaces « communs » décrits ci-dessus.</w:t>
      </w:r>
    </w:p>
    <w:p w14:paraId="2D24A200" w14:textId="60304D06" w:rsidR="00FC76CE" w:rsidRDefault="00FC76CE" w:rsidP="00FC76CE">
      <w:pPr>
        <w:pStyle w:val="Paragraphedeliste"/>
        <w:numPr>
          <w:ilvl w:val="0"/>
          <w:numId w:val="14"/>
        </w:numPr>
        <w:jc w:val="both"/>
      </w:pPr>
      <w:r>
        <w:t>Il est envisagé d’accueillir au moins 30 exposants.</w:t>
      </w:r>
    </w:p>
    <w:p w14:paraId="6DA5A816" w14:textId="7DE4A6DF" w:rsidR="00D37744" w:rsidRPr="00A660D6" w:rsidRDefault="00D37744" w:rsidP="00FC76CE">
      <w:pPr>
        <w:pStyle w:val="Paragraphedeliste"/>
        <w:numPr>
          <w:ilvl w:val="0"/>
          <w:numId w:val="14"/>
        </w:numPr>
        <w:jc w:val="both"/>
      </w:pPr>
      <w:r>
        <w:t>Un AMI a été diffusé et ci-dessous un premier retour</w:t>
      </w:r>
      <w:r w:rsidR="000E1272">
        <w:t xml:space="preserve"> de 20 entreprises</w:t>
      </w:r>
      <w:r>
        <w:t xml:space="preserve"> des surfaces de stands envisagées et non confirmées :</w:t>
      </w:r>
    </w:p>
    <w:p w14:paraId="51BB8A28" w14:textId="77777777" w:rsidR="009C2D71" w:rsidRPr="005A6D22" w:rsidRDefault="009C2D71" w:rsidP="005A6D22">
      <w:pPr>
        <w:jc w:val="both"/>
      </w:pPr>
    </w:p>
    <w:tbl>
      <w:tblPr>
        <w:tblStyle w:val="Grilledutableau"/>
        <w:tblW w:w="3757" w:type="pct"/>
        <w:tblInd w:w="1416" w:type="dxa"/>
        <w:tblLook w:val="04A0" w:firstRow="1" w:lastRow="0" w:firstColumn="1" w:lastColumn="0" w:noHBand="0" w:noVBand="1"/>
      </w:tblPr>
      <w:tblGrid>
        <w:gridCol w:w="2525"/>
        <w:gridCol w:w="2287"/>
        <w:gridCol w:w="2379"/>
      </w:tblGrid>
      <w:tr w:rsidR="00FC76CE" w:rsidRPr="00D37744" w14:paraId="5DA9EFC7" w14:textId="69DD9FC9" w:rsidTr="00FC76CE">
        <w:tc>
          <w:tcPr>
            <w:tcW w:w="1756" w:type="pct"/>
            <w:tcBorders>
              <w:top w:val="single" w:sz="4" w:space="0" w:color="auto"/>
              <w:left w:val="single" w:sz="4" w:space="0" w:color="auto"/>
              <w:bottom w:val="single" w:sz="4" w:space="0" w:color="auto"/>
              <w:right w:val="single" w:sz="4" w:space="0" w:color="auto"/>
            </w:tcBorders>
            <w:hideMark/>
          </w:tcPr>
          <w:p w14:paraId="381C5C45" w14:textId="71D3D93E" w:rsidR="00FC76CE" w:rsidRPr="00D37744" w:rsidRDefault="00FC76CE" w:rsidP="005A6D22">
            <w:pPr>
              <w:jc w:val="both"/>
              <w:rPr>
                <w:rFonts w:asciiTheme="minorHAnsi" w:hAnsiTheme="minorHAnsi" w:cs="Arial"/>
                <w:sz w:val="22"/>
                <w:szCs w:val="22"/>
                <w:lang w:eastAsia="zh-CN"/>
              </w:rPr>
            </w:pPr>
            <w:r w:rsidRPr="00D37744">
              <w:rPr>
                <w:rFonts w:asciiTheme="minorHAnsi" w:hAnsiTheme="minorHAnsi"/>
                <w:sz w:val="22"/>
                <w:szCs w:val="22"/>
              </w:rPr>
              <w:t>Surface envisagée non confirmée</w:t>
            </w:r>
          </w:p>
        </w:tc>
        <w:tc>
          <w:tcPr>
            <w:tcW w:w="1590" w:type="pct"/>
            <w:tcBorders>
              <w:top w:val="single" w:sz="4" w:space="0" w:color="auto"/>
              <w:left w:val="single" w:sz="4" w:space="0" w:color="auto"/>
              <w:bottom w:val="single" w:sz="4" w:space="0" w:color="auto"/>
              <w:right w:val="single" w:sz="4" w:space="0" w:color="auto"/>
            </w:tcBorders>
            <w:hideMark/>
          </w:tcPr>
          <w:p w14:paraId="330C96EA" w14:textId="77777777" w:rsidR="00FC76CE" w:rsidRPr="00D37744" w:rsidRDefault="00FC76CE" w:rsidP="005A6D22">
            <w:pPr>
              <w:jc w:val="both"/>
              <w:rPr>
                <w:rFonts w:asciiTheme="minorHAnsi" w:hAnsiTheme="minorHAnsi" w:cs="Arial"/>
                <w:sz w:val="22"/>
                <w:szCs w:val="22"/>
                <w:lang w:eastAsia="zh-CN"/>
              </w:rPr>
            </w:pPr>
            <w:r w:rsidRPr="00D37744">
              <w:rPr>
                <w:rFonts w:asciiTheme="minorHAnsi" w:hAnsiTheme="minorHAnsi"/>
                <w:sz w:val="22"/>
                <w:szCs w:val="22"/>
              </w:rPr>
              <w:t>Nb</w:t>
            </w:r>
          </w:p>
        </w:tc>
        <w:tc>
          <w:tcPr>
            <w:tcW w:w="1654" w:type="pct"/>
            <w:tcBorders>
              <w:top w:val="single" w:sz="4" w:space="0" w:color="auto"/>
              <w:left w:val="single" w:sz="4" w:space="0" w:color="auto"/>
              <w:bottom w:val="single" w:sz="4" w:space="0" w:color="auto"/>
              <w:right w:val="single" w:sz="4" w:space="0" w:color="auto"/>
            </w:tcBorders>
          </w:tcPr>
          <w:p w14:paraId="7647C3DF" w14:textId="71850A21" w:rsidR="00FC76CE" w:rsidRPr="00D37744" w:rsidRDefault="00FC76CE" w:rsidP="005A6D22">
            <w:pPr>
              <w:jc w:val="both"/>
              <w:rPr>
                <w:rFonts w:asciiTheme="minorHAnsi" w:hAnsiTheme="minorHAnsi"/>
                <w:sz w:val="22"/>
                <w:szCs w:val="22"/>
              </w:rPr>
            </w:pPr>
            <w:r w:rsidRPr="00D37744">
              <w:rPr>
                <w:rFonts w:asciiTheme="minorHAnsi" w:hAnsiTheme="minorHAnsi"/>
                <w:sz w:val="22"/>
                <w:szCs w:val="22"/>
              </w:rPr>
              <w:t>Surface suppl. en mezzanine</w:t>
            </w:r>
          </w:p>
        </w:tc>
      </w:tr>
      <w:tr w:rsidR="00FC76CE" w:rsidRPr="00D37744" w14:paraId="5596CE8B" w14:textId="3A324AC2" w:rsidTr="00FC76CE">
        <w:tc>
          <w:tcPr>
            <w:tcW w:w="1756" w:type="pct"/>
            <w:tcBorders>
              <w:top w:val="single" w:sz="4" w:space="0" w:color="auto"/>
              <w:left w:val="single" w:sz="4" w:space="0" w:color="auto"/>
              <w:bottom w:val="single" w:sz="4" w:space="0" w:color="auto"/>
              <w:right w:val="single" w:sz="4" w:space="0" w:color="auto"/>
            </w:tcBorders>
            <w:hideMark/>
          </w:tcPr>
          <w:p w14:paraId="5B607BE9" w14:textId="480FCA90" w:rsidR="00FC76CE" w:rsidRPr="00D37744" w:rsidRDefault="00FC76CE" w:rsidP="005A6D22">
            <w:pPr>
              <w:jc w:val="both"/>
              <w:rPr>
                <w:rFonts w:asciiTheme="minorHAnsi" w:hAnsiTheme="minorHAnsi" w:cs="Arial"/>
                <w:sz w:val="22"/>
                <w:szCs w:val="22"/>
                <w:lang w:eastAsia="zh-CN"/>
              </w:rPr>
            </w:pPr>
            <w:r w:rsidRPr="00D37744">
              <w:rPr>
                <w:rFonts w:asciiTheme="minorHAnsi" w:hAnsiTheme="minorHAnsi"/>
                <w:sz w:val="22"/>
                <w:szCs w:val="22"/>
              </w:rPr>
              <w:t>6m²</w:t>
            </w:r>
          </w:p>
        </w:tc>
        <w:tc>
          <w:tcPr>
            <w:tcW w:w="1590" w:type="pct"/>
            <w:tcBorders>
              <w:top w:val="single" w:sz="4" w:space="0" w:color="auto"/>
              <w:left w:val="single" w:sz="4" w:space="0" w:color="auto"/>
              <w:bottom w:val="single" w:sz="4" w:space="0" w:color="auto"/>
              <w:right w:val="single" w:sz="4" w:space="0" w:color="auto"/>
            </w:tcBorders>
            <w:hideMark/>
          </w:tcPr>
          <w:p w14:paraId="1F7E7296" w14:textId="3A1F71D8" w:rsidR="00FC76CE" w:rsidRPr="00D37744" w:rsidRDefault="00FC76CE" w:rsidP="005A6D22">
            <w:pPr>
              <w:jc w:val="both"/>
              <w:rPr>
                <w:rFonts w:asciiTheme="minorHAnsi" w:hAnsiTheme="minorHAnsi" w:cs="Arial"/>
                <w:sz w:val="22"/>
                <w:szCs w:val="22"/>
                <w:lang w:eastAsia="zh-CN"/>
              </w:rPr>
            </w:pPr>
            <w:r>
              <w:rPr>
                <w:rFonts w:asciiTheme="minorHAnsi" w:hAnsiTheme="minorHAnsi"/>
                <w:sz w:val="22"/>
                <w:szCs w:val="22"/>
              </w:rPr>
              <w:t>6</w:t>
            </w:r>
          </w:p>
        </w:tc>
        <w:tc>
          <w:tcPr>
            <w:tcW w:w="1654" w:type="pct"/>
            <w:tcBorders>
              <w:top w:val="single" w:sz="4" w:space="0" w:color="auto"/>
              <w:left w:val="single" w:sz="4" w:space="0" w:color="auto"/>
              <w:bottom w:val="single" w:sz="4" w:space="0" w:color="auto"/>
              <w:right w:val="single" w:sz="4" w:space="0" w:color="auto"/>
            </w:tcBorders>
          </w:tcPr>
          <w:p w14:paraId="366ABAFC" w14:textId="77777777" w:rsidR="00FC76CE" w:rsidRPr="00D37744" w:rsidRDefault="00FC76CE" w:rsidP="005A6D22">
            <w:pPr>
              <w:jc w:val="both"/>
              <w:rPr>
                <w:rFonts w:asciiTheme="minorHAnsi" w:hAnsiTheme="minorHAnsi"/>
                <w:sz w:val="22"/>
                <w:szCs w:val="22"/>
              </w:rPr>
            </w:pPr>
          </w:p>
        </w:tc>
      </w:tr>
      <w:tr w:rsidR="00FC76CE" w:rsidRPr="00D37744" w14:paraId="1180606E" w14:textId="37942C77" w:rsidTr="00FC76CE">
        <w:tc>
          <w:tcPr>
            <w:tcW w:w="1756" w:type="pct"/>
            <w:tcBorders>
              <w:top w:val="single" w:sz="4" w:space="0" w:color="auto"/>
              <w:left w:val="single" w:sz="4" w:space="0" w:color="auto"/>
              <w:bottom w:val="single" w:sz="4" w:space="0" w:color="auto"/>
              <w:right w:val="single" w:sz="4" w:space="0" w:color="auto"/>
            </w:tcBorders>
          </w:tcPr>
          <w:p w14:paraId="30732B0A" w14:textId="4952E446" w:rsidR="00FC76CE" w:rsidRPr="00D37744" w:rsidRDefault="00FC76CE" w:rsidP="005A6D22">
            <w:pPr>
              <w:jc w:val="both"/>
              <w:rPr>
                <w:rFonts w:asciiTheme="minorHAnsi" w:hAnsiTheme="minorHAnsi"/>
                <w:sz w:val="22"/>
                <w:szCs w:val="22"/>
              </w:rPr>
            </w:pPr>
            <w:r>
              <w:rPr>
                <w:rFonts w:asciiTheme="minorHAnsi" w:hAnsiTheme="minorHAnsi"/>
                <w:sz w:val="22"/>
                <w:szCs w:val="22"/>
              </w:rPr>
              <w:t>12m²</w:t>
            </w:r>
          </w:p>
        </w:tc>
        <w:tc>
          <w:tcPr>
            <w:tcW w:w="1590" w:type="pct"/>
            <w:tcBorders>
              <w:top w:val="single" w:sz="4" w:space="0" w:color="auto"/>
              <w:left w:val="single" w:sz="4" w:space="0" w:color="auto"/>
              <w:bottom w:val="single" w:sz="4" w:space="0" w:color="auto"/>
              <w:right w:val="single" w:sz="4" w:space="0" w:color="auto"/>
            </w:tcBorders>
          </w:tcPr>
          <w:p w14:paraId="4D46FCE4" w14:textId="0C0C3D1B" w:rsidR="00FC76CE" w:rsidRPr="00D37744" w:rsidRDefault="00FC76CE" w:rsidP="005A6D22">
            <w:pPr>
              <w:jc w:val="both"/>
              <w:rPr>
                <w:rFonts w:asciiTheme="minorHAnsi" w:hAnsiTheme="minorHAnsi"/>
                <w:sz w:val="22"/>
                <w:szCs w:val="22"/>
              </w:rPr>
            </w:pPr>
            <w:r>
              <w:rPr>
                <w:rFonts w:asciiTheme="minorHAnsi" w:hAnsiTheme="minorHAnsi"/>
                <w:sz w:val="22"/>
                <w:szCs w:val="22"/>
              </w:rPr>
              <w:t>7</w:t>
            </w:r>
          </w:p>
        </w:tc>
        <w:tc>
          <w:tcPr>
            <w:tcW w:w="1654" w:type="pct"/>
            <w:tcBorders>
              <w:top w:val="single" w:sz="4" w:space="0" w:color="auto"/>
              <w:left w:val="single" w:sz="4" w:space="0" w:color="auto"/>
              <w:bottom w:val="single" w:sz="4" w:space="0" w:color="auto"/>
              <w:right w:val="single" w:sz="4" w:space="0" w:color="auto"/>
            </w:tcBorders>
          </w:tcPr>
          <w:p w14:paraId="4A7A9FAE" w14:textId="6E5AC3CE" w:rsidR="00FC76CE" w:rsidRPr="00D37744" w:rsidRDefault="00FC76CE" w:rsidP="005A6D22">
            <w:pPr>
              <w:jc w:val="both"/>
              <w:rPr>
                <w:rFonts w:asciiTheme="minorHAnsi" w:hAnsiTheme="minorHAnsi"/>
                <w:sz w:val="22"/>
                <w:szCs w:val="22"/>
              </w:rPr>
            </w:pPr>
            <w:r>
              <w:rPr>
                <w:rFonts w:asciiTheme="minorHAnsi" w:hAnsiTheme="minorHAnsi"/>
                <w:sz w:val="22"/>
                <w:szCs w:val="22"/>
              </w:rPr>
              <w:t>6m² pour 1 stand</w:t>
            </w:r>
          </w:p>
        </w:tc>
      </w:tr>
      <w:tr w:rsidR="00FC76CE" w:rsidRPr="00D37744" w14:paraId="07740D81" w14:textId="5D4CB6DE" w:rsidTr="00FC76CE">
        <w:tc>
          <w:tcPr>
            <w:tcW w:w="1756" w:type="pct"/>
            <w:tcBorders>
              <w:top w:val="single" w:sz="4" w:space="0" w:color="auto"/>
              <w:left w:val="single" w:sz="4" w:space="0" w:color="auto"/>
              <w:bottom w:val="single" w:sz="4" w:space="0" w:color="auto"/>
              <w:right w:val="single" w:sz="4" w:space="0" w:color="auto"/>
            </w:tcBorders>
          </w:tcPr>
          <w:p w14:paraId="157E9A97" w14:textId="16F5692C" w:rsidR="00FC76CE" w:rsidRPr="00D37744" w:rsidRDefault="00FC76CE" w:rsidP="005A6D22">
            <w:pPr>
              <w:jc w:val="both"/>
              <w:rPr>
                <w:rFonts w:asciiTheme="minorHAnsi" w:hAnsiTheme="minorHAnsi" w:cs="Arial"/>
                <w:sz w:val="22"/>
                <w:szCs w:val="22"/>
                <w:lang w:eastAsia="zh-CN"/>
              </w:rPr>
            </w:pPr>
            <w:r>
              <w:rPr>
                <w:rFonts w:asciiTheme="minorHAnsi" w:hAnsiTheme="minorHAnsi" w:cs="Arial"/>
                <w:sz w:val="22"/>
                <w:szCs w:val="22"/>
                <w:lang w:eastAsia="zh-CN"/>
              </w:rPr>
              <w:t>6m² ou 12m²</w:t>
            </w:r>
          </w:p>
        </w:tc>
        <w:tc>
          <w:tcPr>
            <w:tcW w:w="1590" w:type="pct"/>
            <w:tcBorders>
              <w:top w:val="single" w:sz="4" w:space="0" w:color="auto"/>
              <w:left w:val="single" w:sz="4" w:space="0" w:color="auto"/>
              <w:bottom w:val="single" w:sz="4" w:space="0" w:color="auto"/>
              <w:right w:val="single" w:sz="4" w:space="0" w:color="auto"/>
            </w:tcBorders>
          </w:tcPr>
          <w:p w14:paraId="34FD6281" w14:textId="0D07C386" w:rsidR="00FC76CE" w:rsidRPr="00D37744" w:rsidRDefault="00FC76CE" w:rsidP="005A6D22">
            <w:pPr>
              <w:jc w:val="both"/>
              <w:rPr>
                <w:rFonts w:asciiTheme="minorHAnsi" w:hAnsiTheme="minorHAnsi" w:cs="Arial"/>
                <w:sz w:val="22"/>
                <w:szCs w:val="22"/>
                <w:lang w:eastAsia="zh-CN"/>
              </w:rPr>
            </w:pPr>
            <w:r>
              <w:rPr>
                <w:rFonts w:asciiTheme="minorHAnsi" w:hAnsiTheme="minorHAnsi" w:cs="Arial"/>
                <w:sz w:val="22"/>
                <w:szCs w:val="22"/>
                <w:lang w:eastAsia="zh-CN"/>
              </w:rPr>
              <w:t>3</w:t>
            </w:r>
          </w:p>
        </w:tc>
        <w:tc>
          <w:tcPr>
            <w:tcW w:w="1654" w:type="pct"/>
            <w:tcBorders>
              <w:top w:val="single" w:sz="4" w:space="0" w:color="auto"/>
              <w:left w:val="single" w:sz="4" w:space="0" w:color="auto"/>
              <w:bottom w:val="single" w:sz="4" w:space="0" w:color="auto"/>
              <w:right w:val="single" w:sz="4" w:space="0" w:color="auto"/>
            </w:tcBorders>
          </w:tcPr>
          <w:p w14:paraId="631048A0" w14:textId="77777777" w:rsidR="00FC76CE" w:rsidRPr="00D37744" w:rsidRDefault="00FC76CE" w:rsidP="005A6D22">
            <w:pPr>
              <w:jc w:val="both"/>
              <w:rPr>
                <w:rFonts w:asciiTheme="minorHAnsi" w:hAnsiTheme="minorHAnsi" w:cs="Arial"/>
                <w:sz w:val="22"/>
                <w:szCs w:val="22"/>
                <w:lang w:eastAsia="zh-CN"/>
              </w:rPr>
            </w:pPr>
          </w:p>
        </w:tc>
      </w:tr>
      <w:tr w:rsidR="00FC76CE" w:rsidRPr="00D37744" w14:paraId="31A380E7" w14:textId="02BF0423" w:rsidTr="00FC76CE">
        <w:tc>
          <w:tcPr>
            <w:tcW w:w="1756" w:type="pct"/>
            <w:tcBorders>
              <w:top w:val="single" w:sz="4" w:space="0" w:color="auto"/>
              <w:left w:val="single" w:sz="4" w:space="0" w:color="auto"/>
              <w:bottom w:val="single" w:sz="4" w:space="0" w:color="auto"/>
              <w:right w:val="single" w:sz="4" w:space="0" w:color="auto"/>
            </w:tcBorders>
          </w:tcPr>
          <w:p w14:paraId="0A36CF94" w14:textId="506B285A" w:rsidR="00FC76CE" w:rsidRPr="00D37744" w:rsidRDefault="00FC76CE" w:rsidP="005A6D22">
            <w:pPr>
              <w:jc w:val="both"/>
              <w:rPr>
                <w:rFonts w:asciiTheme="minorHAnsi" w:hAnsiTheme="minorHAnsi" w:cs="Arial"/>
                <w:sz w:val="22"/>
                <w:szCs w:val="22"/>
                <w:lang w:eastAsia="zh-CN"/>
              </w:rPr>
            </w:pPr>
            <w:r>
              <w:rPr>
                <w:rFonts w:asciiTheme="minorHAnsi" w:hAnsiTheme="minorHAnsi" w:cs="Arial"/>
                <w:sz w:val="22"/>
                <w:szCs w:val="22"/>
                <w:lang w:eastAsia="zh-CN"/>
              </w:rPr>
              <w:t xml:space="preserve">18m² ou </w:t>
            </w:r>
            <w:proofErr w:type="spellStart"/>
            <w:r>
              <w:rPr>
                <w:rFonts w:asciiTheme="minorHAnsi" w:hAnsiTheme="minorHAnsi" w:cs="Arial"/>
                <w:sz w:val="22"/>
                <w:szCs w:val="22"/>
                <w:lang w:eastAsia="zh-CN"/>
              </w:rPr>
              <w:t>peut être</w:t>
            </w:r>
            <w:proofErr w:type="spellEnd"/>
            <w:r>
              <w:rPr>
                <w:rFonts w:asciiTheme="minorHAnsi" w:hAnsiTheme="minorHAnsi" w:cs="Arial"/>
                <w:sz w:val="22"/>
                <w:szCs w:val="22"/>
                <w:lang w:eastAsia="zh-CN"/>
              </w:rPr>
              <w:t xml:space="preserve"> 24</w:t>
            </w:r>
          </w:p>
        </w:tc>
        <w:tc>
          <w:tcPr>
            <w:tcW w:w="1590" w:type="pct"/>
            <w:tcBorders>
              <w:top w:val="single" w:sz="4" w:space="0" w:color="auto"/>
              <w:left w:val="single" w:sz="4" w:space="0" w:color="auto"/>
              <w:bottom w:val="single" w:sz="4" w:space="0" w:color="auto"/>
              <w:right w:val="single" w:sz="4" w:space="0" w:color="auto"/>
            </w:tcBorders>
          </w:tcPr>
          <w:p w14:paraId="73C61FB4" w14:textId="20557AC3" w:rsidR="00FC76CE" w:rsidRPr="00D37744" w:rsidRDefault="00FC76CE" w:rsidP="005A6D22">
            <w:pPr>
              <w:jc w:val="both"/>
              <w:rPr>
                <w:rFonts w:asciiTheme="minorHAnsi" w:hAnsiTheme="minorHAnsi" w:cs="Arial"/>
                <w:sz w:val="22"/>
                <w:szCs w:val="22"/>
                <w:lang w:eastAsia="zh-CN"/>
              </w:rPr>
            </w:pPr>
            <w:r>
              <w:rPr>
                <w:rFonts w:asciiTheme="minorHAnsi" w:hAnsiTheme="minorHAnsi" w:cs="Arial"/>
                <w:sz w:val="22"/>
                <w:szCs w:val="22"/>
                <w:lang w:eastAsia="zh-CN"/>
              </w:rPr>
              <w:t>2</w:t>
            </w:r>
          </w:p>
        </w:tc>
        <w:tc>
          <w:tcPr>
            <w:tcW w:w="1654" w:type="pct"/>
            <w:tcBorders>
              <w:top w:val="single" w:sz="4" w:space="0" w:color="auto"/>
              <w:left w:val="single" w:sz="4" w:space="0" w:color="auto"/>
              <w:bottom w:val="single" w:sz="4" w:space="0" w:color="auto"/>
              <w:right w:val="single" w:sz="4" w:space="0" w:color="auto"/>
            </w:tcBorders>
          </w:tcPr>
          <w:p w14:paraId="750E564E" w14:textId="77777777" w:rsidR="00FC76CE" w:rsidRPr="00D37744" w:rsidRDefault="00FC76CE" w:rsidP="005A6D22">
            <w:pPr>
              <w:jc w:val="both"/>
              <w:rPr>
                <w:rFonts w:asciiTheme="minorHAnsi" w:hAnsiTheme="minorHAnsi" w:cs="Arial"/>
                <w:sz w:val="22"/>
                <w:szCs w:val="22"/>
                <w:lang w:eastAsia="zh-CN"/>
              </w:rPr>
            </w:pPr>
          </w:p>
        </w:tc>
      </w:tr>
      <w:tr w:rsidR="00FC76CE" w:rsidRPr="00D37744" w14:paraId="6CDB114C" w14:textId="4211D2E4" w:rsidTr="00FC76CE">
        <w:tc>
          <w:tcPr>
            <w:tcW w:w="1756" w:type="pct"/>
            <w:tcBorders>
              <w:top w:val="single" w:sz="4" w:space="0" w:color="auto"/>
              <w:left w:val="single" w:sz="4" w:space="0" w:color="auto"/>
              <w:bottom w:val="single" w:sz="4" w:space="0" w:color="auto"/>
              <w:right w:val="single" w:sz="4" w:space="0" w:color="auto"/>
            </w:tcBorders>
          </w:tcPr>
          <w:p w14:paraId="6894DFB4" w14:textId="17A66608" w:rsidR="00FC76CE" w:rsidRPr="00D37744" w:rsidRDefault="00FC76CE" w:rsidP="005A6D22">
            <w:pPr>
              <w:jc w:val="both"/>
              <w:rPr>
                <w:rFonts w:asciiTheme="minorHAnsi" w:hAnsiTheme="minorHAnsi" w:cs="Arial"/>
                <w:sz w:val="22"/>
                <w:szCs w:val="22"/>
                <w:lang w:eastAsia="zh-CN"/>
              </w:rPr>
            </w:pPr>
            <w:r>
              <w:rPr>
                <w:rFonts w:asciiTheme="minorHAnsi" w:hAnsiTheme="minorHAnsi" w:cs="Arial"/>
                <w:sz w:val="22"/>
                <w:szCs w:val="22"/>
                <w:lang w:eastAsia="zh-CN"/>
              </w:rPr>
              <w:t xml:space="preserve">18m² ou </w:t>
            </w:r>
            <w:proofErr w:type="spellStart"/>
            <w:r>
              <w:rPr>
                <w:rFonts w:asciiTheme="minorHAnsi" w:hAnsiTheme="minorHAnsi" w:cs="Arial"/>
                <w:sz w:val="22"/>
                <w:szCs w:val="22"/>
                <w:lang w:eastAsia="zh-CN"/>
              </w:rPr>
              <w:t>peut être</w:t>
            </w:r>
            <w:proofErr w:type="spellEnd"/>
            <w:r>
              <w:rPr>
                <w:rFonts w:asciiTheme="minorHAnsi" w:hAnsiTheme="minorHAnsi" w:cs="Arial"/>
                <w:sz w:val="22"/>
                <w:szCs w:val="22"/>
                <w:lang w:eastAsia="zh-CN"/>
              </w:rPr>
              <w:t xml:space="preserve"> 36</w:t>
            </w:r>
          </w:p>
        </w:tc>
        <w:tc>
          <w:tcPr>
            <w:tcW w:w="1590" w:type="pct"/>
            <w:tcBorders>
              <w:top w:val="single" w:sz="4" w:space="0" w:color="auto"/>
              <w:left w:val="single" w:sz="4" w:space="0" w:color="auto"/>
              <w:bottom w:val="single" w:sz="4" w:space="0" w:color="auto"/>
              <w:right w:val="single" w:sz="4" w:space="0" w:color="auto"/>
            </w:tcBorders>
          </w:tcPr>
          <w:p w14:paraId="3256E8AA" w14:textId="65A4F368" w:rsidR="00FC76CE" w:rsidRPr="00D37744" w:rsidRDefault="00FC76CE" w:rsidP="005A6D22">
            <w:pPr>
              <w:jc w:val="both"/>
              <w:rPr>
                <w:rFonts w:asciiTheme="minorHAnsi" w:hAnsiTheme="minorHAnsi" w:cs="Arial"/>
                <w:sz w:val="22"/>
                <w:szCs w:val="22"/>
                <w:lang w:eastAsia="zh-CN"/>
              </w:rPr>
            </w:pPr>
            <w:r>
              <w:rPr>
                <w:rFonts w:asciiTheme="minorHAnsi" w:hAnsiTheme="minorHAnsi" w:cs="Arial"/>
                <w:sz w:val="22"/>
                <w:szCs w:val="22"/>
                <w:lang w:eastAsia="zh-CN"/>
              </w:rPr>
              <w:t>1</w:t>
            </w:r>
          </w:p>
        </w:tc>
        <w:tc>
          <w:tcPr>
            <w:tcW w:w="1654" w:type="pct"/>
            <w:tcBorders>
              <w:top w:val="single" w:sz="4" w:space="0" w:color="auto"/>
              <w:left w:val="single" w:sz="4" w:space="0" w:color="auto"/>
              <w:bottom w:val="single" w:sz="4" w:space="0" w:color="auto"/>
              <w:right w:val="single" w:sz="4" w:space="0" w:color="auto"/>
            </w:tcBorders>
          </w:tcPr>
          <w:p w14:paraId="40D45C9B" w14:textId="77777777" w:rsidR="00FC76CE" w:rsidRPr="00D37744" w:rsidRDefault="00FC76CE" w:rsidP="005A6D22">
            <w:pPr>
              <w:jc w:val="both"/>
              <w:rPr>
                <w:rFonts w:asciiTheme="minorHAnsi" w:hAnsiTheme="minorHAnsi" w:cs="Arial"/>
                <w:sz w:val="22"/>
                <w:szCs w:val="22"/>
                <w:lang w:eastAsia="zh-CN"/>
              </w:rPr>
            </w:pPr>
          </w:p>
        </w:tc>
      </w:tr>
      <w:tr w:rsidR="00FC76CE" w:rsidRPr="00D37744" w14:paraId="7E418788" w14:textId="2DF16FBD" w:rsidTr="00FC76CE">
        <w:tc>
          <w:tcPr>
            <w:tcW w:w="1756" w:type="pct"/>
            <w:tcBorders>
              <w:top w:val="single" w:sz="4" w:space="0" w:color="auto"/>
              <w:left w:val="single" w:sz="4" w:space="0" w:color="auto"/>
              <w:bottom w:val="single" w:sz="4" w:space="0" w:color="auto"/>
              <w:right w:val="single" w:sz="4" w:space="0" w:color="auto"/>
            </w:tcBorders>
          </w:tcPr>
          <w:p w14:paraId="01967D77" w14:textId="041AC6F5" w:rsidR="00FC76CE" w:rsidRPr="00D37744" w:rsidRDefault="00FC76CE" w:rsidP="005A6D22">
            <w:pPr>
              <w:jc w:val="both"/>
              <w:rPr>
                <w:rFonts w:asciiTheme="minorHAnsi" w:hAnsiTheme="minorHAnsi" w:cs="Arial"/>
                <w:sz w:val="22"/>
                <w:szCs w:val="22"/>
                <w:lang w:eastAsia="zh-CN"/>
              </w:rPr>
            </w:pPr>
            <w:r>
              <w:rPr>
                <w:rFonts w:asciiTheme="minorHAnsi" w:hAnsiTheme="minorHAnsi" w:cs="Arial"/>
                <w:sz w:val="22"/>
                <w:szCs w:val="22"/>
                <w:lang w:eastAsia="zh-CN"/>
              </w:rPr>
              <w:t>24m²</w:t>
            </w:r>
          </w:p>
        </w:tc>
        <w:tc>
          <w:tcPr>
            <w:tcW w:w="1590" w:type="pct"/>
            <w:tcBorders>
              <w:top w:val="single" w:sz="4" w:space="0" w:color="auto"/>
              <w:left w:val="single" w:sz="4" w:space="0" w:color="auto"/>
              <w:bottom w:val="single" w:sz="4" w:space="0" w:color="auto"/>
              <w:right w:val="single" w:sz="4" w:space="0" w:color="auto"/>
            </w:tcBorders>
          </w:tcPr>
          <w:p w14:paraId="0557DC6E" w14:textId="124F673E" w:rsidR="00FC76CE" w:rsidRPr="00D37744" w:rsidRDefault="00FC76CE" w:rsidP="005A6D22">
            <w:pPr>
              <w:jc w:val="both"/>
              <w:rPr>
                <w:rFonts w:asciiTheme="minorHAnsi" w:hAnsiTheme="minorHAnsi" w:cs="Arial"/>
                <w:sz w:val="22"/>
                <w:szCs w:val="22"/>
                <w:lang w:eastAsia="zh-CN"/>
              </w:rPr>
            </w:pPr>
            <w:r>
              <w:rPr>
                <w:rFonts w:asciiTheme="minorHAnsi" w:hAnsiTheme="minorHAnsi" w:cs="Arial"/>
                <w:sz w:val="22"/>
                <w:szCs w:val="22"/>
                <w:lang w:eastAsia="zh-CN"/>
              </w:rPr>
              <w:t>1</w:t>
            </w:r>
          </w:p>
        </w:tc>
        <w:tc>
          <w:tcPr>
            <w:tcW w:w="1654" w:type="pct"/>
            <w:tcBorders>
              <w:top w:val="single" w:sz="4" w:space="0" w:color="auto"/>
              <w:left w:val="single" w:sz="4" w:space="0" w:color="auto"/>
              <w:bottom w:val="single" w:sz="4" w:space="0" w:color="auto"/>
              <w:right w:val="single" w:sz="4" w:space="0" w:color="auto"/>
            </w:tcBorders>
          </w:tcPr>
          <w:p w14:paraId="22587FCD" w14:textId="77777777" w:rsidR="00FC76CE" w:rsidRPr="00D37744" w:rsidRDefault="00FC76CE" w:rsidP="005A6D22">
            <w:pPr>
              <w:jc w:val="both"/>
              <w:rPr>
                <w:rFonts w:asciiTheme="minorHAnsi" w:hAnsiTheme="minorHAnsi" w:cs="Arial"/>
                <w:sz w:val="22"/>
                <w:szCs w:val="22"/>
                <w:lang w:eastAsia="zh-CN"/>
              </w:rPr>
            </w:pPr>
          </w:p>
        </w:tc>
      </w:tr>
    </w:tbl>
    <w:p w14:paraId="32F970B6" w14:textId="77777777" w:rsidR="00562660" w:rsidRPr="005A6D22" w:rsidRDefault="00562660" w:rsidP="005A6D22">
      <w:pPr>
        <w:jc w:val="both"/>
        <w:rPr>
          <w:rFonts w:cs="Arial"/>
          <w:lang w:eastAsia="zh-CN"/>
        </w:rPr>
      </w:pPr>
    </w:p>
    <w:p w14:paraId="3807CA41" w14:textId="55D43481" w:rsidR="00FC76CE" w:rsidRDefault="00FC76CE" w:rsidP="007D58F8">
      <w:pPr>
        <w:pStyle w:val="Paragraphedeliste"/>
        <w:numPr>
          <w:ilvl w:val="0"/>
          <w:numId w:val="12"/>
        </w:numPr>
        <w:jc w:val="both"/>
      </w:pPr>
      <w:r>
        <w:t>Il conviendrait que le prestataire propose des stands de surface par multiple de 6 pour « combler les trous ».</w:t>
      </w:r>
    </w:p>
    <w:p w14:paraId="2AD0BCB6" w14:textId="77777777" w:rsidR="00562660" w:rsidRDefault="00562660" w:rsidP="007D58F8">
      <w:pPr>
        <w:pStyle w:val="Paragraphedeliste"/>
        <w:numPr>
          <w:ilvl w:val="0"/>
          <w:numId w:val="12"/>
        </w:numPr>
        <w:jc w:val="both"/>
      </w:pPr>
      <w:r w:rsidRPr="005A6D22">
        <w:t>Chaque stand devra prévoir à minima une table, deux tabourets ou chauffeuse, des connexions électriques et informatiques, un présentoir pouvant accueillir des supports de format A4, une sécurisation pour fixer un écran, une banque d’accueil avec rangement fermé à clef et une petite réserve fermée à clef.</w:t>
      </w:r>
    </w:p>
    <w:p w14:paraId="1E377CCD" w14:textId="169BC54C" w:rsidR="009C2D71" w:rsidRPr="005A6D22" w:rsidRDefault="009C2D71" w:rsidP="007D58F8">
      <w:pPr>
        <w:pStyle w:val="Paragraphedeliste"/>
        <w:numPr>
          <w:ilvl w:val="0"/>
          <w:numId w:val="12"/>
        </w:numPr>
        <w:jc w:val="both"/>
      </w:pPr>
      <w:r w:rsidRPr="005A6D22">
        <w:t>Une enseigne personnalisé</w:t>
      </w:r>
      <w:r w:rsidR="007D58F8">
        <w:t>e pour chacune des entreprises</w:t>
      </w:r>
    </w:p>
    <w:p w14:paraId="24E4661D" w14:textId="77777777" w:rsidR="00562660" w:rsidRPr="005A6D22" w:rsidRDefault="00562660" w:rsidP="007D58F8">
      <w:pPr>
        <w:pStyle w:val="Paragraphedeliste"/>
        <w:numPr>
          <w:ilvl w:val="0"/>
          <w:numId w:val="12"/>
        </w:numPr>
        <w:jc w:val="both"/>
      </w:pPr>
      <w:r w:rsidRPr="005A6D22">
        <w:t xml:space="preserve">En fonction de la nature de l’activité des participants, il est envisagé de regrouper les stands par thématique. Il pourra être demandé au prestataire de traduire cette notion d’espace technologique commun. </w:t>
      </w:r>
    </w:p>
    <w:p w14:paraId="692E31C3" w14:textId="77777777" w:rsidR="00562660" w:rsidRDefault="00562660" w:rsidP="007D58F8">
      <w:pPr>
        <w:pStyle w:val="Paragraphedeliste"/>
        <w:numPr>
          <w:ilvl w:val="0"/>
          <w:numId w:val="12"/>
        </w:numPr>
        <w:jc w:val="both"/>
      </w:pPr>
      <w:r w:rsidRPr="005A6D22">
        <w:t xml:space="preserve">Chaque entreprise devra disposer d’un espace suffisant pour accueillir les visiteurs et présenter ses produits. Le prestataire devra proposer une organisation de l’espace et une charte graphique permettant de valoriser chaque exposant tout en veillant à l’harmonie visuelle générale du stand. </w:t>
      </w:r>
    </w:p>
    <w:p w14:paraId="26F2993C" w14:textId="77777777" w:rsidR="00783663" w:rsidRPr="005A6D22" w:rsidRDefault="00783663" w:rsidP="005A6D22">
      <w:pPr>
        <w:jc w:val="both"/>
      </w:pPr>
    </w:p>
    <w:p w14:paraId="2C37EDC4" w14:textId="77777777" w:rsidR="00562660" w:rsidRDefault="00562660" w:rsidP="00785501">
      <w:pPr>
        <w:pStyle w:val="Paragraphedeliste"/>
        <w:numPr>
          <w:ilvl w:val="0"/>
          <w:numId w:val="10"/>
        </w:numPr>
        <w:jc w:val="both"/>
      </w:pPr>
      <w:r w:rsidRPr="009C2D71">
        <w:rPr>
          <w:b/>
          <w:color w:val="000080"/>
        </w:rPr>
        <w:t>Un espace clos réservé à l’organisation</w:t>
      </w:r>
      <w:r w:rsidRPr="009C2D71">
        <w:rPr>
          <w:color w:val="000000"/>
        </w:rPr>
        <w:t xml:space="preserve"> </w:t>
      </w:r>
      <w:r w:rsidRPr="005A6D22">
        <w:t xml:space="preserve">ayant une fonction de vestiaire et de stockage des prospectus, objets publicitaires pour l’équipe organisatrice… </w:t>
      </w:r>
    </w:p>
    <w:p w14:paraId="1F61317C" w14:textId="77777777" w:rsidR="009C2D71" w:rsidRDefault="009C2D71" w:rsidP="009C2D71">
      <w:pPr>
        <w:pStyle w:val="Paragraphedeliste"/>
        <w:jc w:val="both"/>
      </w:pPr>
    </w:p>
    <w:p w14:paraId="64E633B1" w14:textId="79A4C07D" w:rsidR="009C2D71" w:rsidRPr="009C2D71" w:rsidRDefault="009C2D71" w:rsidP="00785501">
      <w:pPr>
        <w:pStyle w:val="Paragraphedeliste"/>
        <w:numPr>
          <w:ilvl w:val="0"/>
          <w:numId w:val="10"/>
        </w:numPr>
      </w:pPr>
      <w:r w:rsidRPr="009C2D71">
        <w:rPr>
          <w:b/>
          <w:color w:val="000080"/>
        </w:rPr>
        <w:t>Une réserve sécurisée</w:t>
      </w:r>
      <w:r w:rsidRPr="009C2D71">
        <w:t xml:space="preserve"> ayant une fonction de stockage des </w:t>
      </w:r>
      <w:r>
        <w:t>emballages/palettes des exposants</w:t>
      </w:r>
    </w:p>
    <w:p w14:paraId="68846608" w14:textId="77777777" w:rsidR="009C2D71" w:rsidRPr="005A6D22" w:rsidRDefault="009C2D71" w:rsidP="009C2D71">
      <w:pPr>
        <w:pStyle w:val="Paragraphedeliste"/>
        <w:jc w:val="both"/>
      </w:pPr>
    </w:p>
    <w:p w14:paraId="78A94F91" w14:textId="77777777" w:rsidR="00562660" w:rsidRPr="005A6D22" w:rsidRDefault="00562660" w:rsidP="005A6D22">
      <w:pPr>
        <w:jc w:val="both"/>
        <w:rPr>
          <w:b/>
          <w:color w:val="000080"/>
        </w:rPr>
      </w:pPr>
    </w:p>
    <w:p w14:paraId="125E65F0" w14:textId="4B3E8E75" w:rsidR="00F52FD3" w:rsidRDefault="00F52FD3">
      <w:pPr>
        <w:rPr>
          <w:rFonts w:cs="Arial Narrow"/>
        </w:rPr>
      </w:pPr>
      <w:r>
        <w:rPr>
          <w:rFonts w:cs="Arial Narrow"/>
        </w:rPr>
        <w:br w:type="page"/>
      </w:r>
    </w:p>
    <w:p w14:paraId="39EBF75F" w14:textId="77777777" w:rsidR="00562660" w:rsidRPr="005A6D22" w:rsidRDefault="00562660" w:rsidP="005A6D22">
      <w:pPr>
        <w:jc w:val="both"/>
        <w:rPr>
          <w:rFonts w:cs="Arial Narrow"/>
        </w:rPr>
      </w:pPr>
    </w:p>
    <w:p w14:paraId="4A797031" w14:textId="77777777" w:rsidR="00562660" w:rsidRPr="005A6D22" w:rsidRDefault="00562660" w:rsidP="00ED79F5">
      <w:pPr>
        <w:pStyle w:val="Titre2"/>
        <w:rPr>
          <w:rFonts w:cs="Arial"/>
        </w:rPr>
      </w:pPr>
      <w:bookmarkStart w:id="8" w:name="_Toc455669010"/>
      <w:r w:rsidRPr="005A6D22">
        <w:t>Moyens techniques, contraintes et indications complémentaires</w:t>
      </w:r>
      <w:bookmarkEnd w:id="8"/>
    </w:p>
    <w:p w14:paraId="2FD1F6FF" w14:textId="77777777" w:rsidR="00562660" w:rsidRPr="005A6D22" w:rsidRDefault="00562660" w:rsidP="005A6D22">
      <w:pPr>
        <w:jc w:val="both"/>
      </w:pPr>
    </w:p>
    <w:p w14:paraId="24FD5D65" w14:textId="77777777" w:rsidR="00562660" w:rsidRPr="009C2D71" w:rsidRDefault="00562660" w:rsidP="00785501">
      <w:pPr>
        <w:pStyle w:val="Paragraphedeliste"/>
        <w:numPr>
          <w:ilvl w:val="0"/>
          <w:numId w:val="11"/>
        </w:numPr>
        <w:jc w:val="both"/>
        <w:rPr>
          <w:color w:val="000000"/>
          <w:shd w:val="clear" w:color="auto" w:fill="FFFF00"/>
        </w:rPr>
      </w:pPr>
      <w:r w:rsidRPr="005A6D22">
        <w:t>Un soin particulier devra être apporté à la cohérence de l’ensemble de l’espace, ainsi qu’à l’équilibre entre l’aspect collectif de la vision présentée et la dimension individuelle laissée à chaque exposant.</w:t>
      </w:r>
    </w:p>
    <w:p w14:paraId="26F4AD7B" w14:textId="77777777" w:rsidR="00562660" w:rsidRPr="009C2D71" w:rsidRDefault="00562660" w:rsidP="00785501">
      <w:pPr>
        <w:pStyle w:val="Paragraphedeliste"/>
        <w:numPr>
          <w:ilvl w:val="0"/>
          <w:numId w:val="11"/>
        </w:numPr>
        <w:jc w:val="both"/>
        <w:rPr>
          <w:color w:val="000000"/>
          <w:shd w:val="clear" w:color="auto" w:fill="FFFF00"/>
        </w:rPr>
      </w:pPr>
      <w:r w:rsidRPr="005A6D22">
        <w:t xml:space="preserve">L'aménagement des différentes surfaces au sol (stands individuels, </w:t>
      </w:r>
      <w:proofErr w:type="spellStart"/>
      <w:r w:rsidRPr="005A6D22">
        <w:t>show room</w:t>
      </w:r>
      <w:proofErr w:type="spellEnd"/>
      <w:r w:rsidRPr="005A6D22">
        <w:t>, accueil général) devra être pensé avec un souci de modularité des espaces de façon à être facilement ré-aménageable afin d'y prévoir en fin de semaine des animations destinées au grand public et aux étudiants.</w:t>
      </w:r>
    </w:p>
    <w:p w14:paraId="13B00D98" w14:textId="77777777" w:rsidR="00562660" w:rsidRPr="005A6D22" w:rsidRDefault="00562660" w:rsidP="00785501">
      <w:pPr>
        <w:pStyle w:val="Paragraphedeliste"/>
        <w:numPr>
          <w:ilvl w:val="0"/>
          <w:numId w:val="11"/>
        </w:numPr>
        <w:jc w:val="both"/>
      </w:pPr>
      <w:r w:rsidRPr="005A6D22">
        <w:t>Pour le choix des couleurs et de l’harmonie visuelle, on se fondera sur la charte graphique de la région PACA et de SAFE Cluster. La PLV sera du ressort du prestataire sélectionné. Les visuels lui seront fournis par le pôle</w:t>
      </w:r>
    </w:p>
    <w:p w14:paraId="640645C0" w14:textId="77777777" w:rsidR="00562660" w:rsidRPr="005A6D22" w:rsidRDefault="00562660" w:rsidP="00785501">
      <w:pPr>
        <w:pStyle w:val="Paragraphedeliste"/>
        <w:numPr>
          <w:ilvl w:val="0"/>
          <w:numId w:val="11"/>
        </w:numPr>
        <w:jc w:val="both"/>
      </w:pPr>
      <w:r w:rsidRPr="005A6D22">
        <w:t>La proposition devra intégrer un catalogue de mobiliers permettant d’assurer sur le stand collectif une unité visuelle</w:t>
      </w:r>
    </w:p>
    <w:p w14:paraId="51097CEA" w14:textId="77777777" w:rsidR="00326B28" w:rsidRDefault="00562660" w:rsidP="00785501">
      <w:pPr>
        <w:pStyle w:val="Paragraphedeliste"/>
        <w:numPr>
          <w:ilvl w:val="0"/>
          <w:numId w:val="11"/>
        </w:numPr>
        <w:jc w:val="both"/>
      </w:pPr>
      <w:r w:rsidRPr="005A6D22">
        <w:t>L’organisation des espaces et des circulations seront ménagées de façon à faciliter la circulation des visiteurs</w:t>
      </w:r>
    </w:p>
    <w:p w14:paraId="06221D8E" w14:textId="77777777" w:rsidR="007D58F8" w:rsidRDefault="00326B28" w:rsidP="00785501">
      <w:pPr>
        <w:pStyle w:val="Paragraphedeliste"/>
        <w:numPr>
          <w:ilvl w:val="0"/>
          <w:numId w:val="11"/>
        </w:numPr>
        <w:jc w:val="both"/>
      </w:pPr>
      <w:r>
        <w:t>L</w:t>
      </w:r>
      <w:r w:rsidR="00562660" w:rsidRPr="005A6D22">
        <w:t xml:space="preserve">’équipement audio-visuel de l’espace </w:t>
      </w:r>
      <w:r>
        <w:t xml:space="preserve">Accueil devra comprendre un </w:t>
      </w:r>
      <w:r w:rsidR="00562660" w:rsidRPr="005A6D22">
        <w:t xml:space="preserve">écran et </w:t>
      </w:r>
      <w:r>
        <w:t xml:space="preserve">un </w:t>
      </w:r>
      <w:r w:rsidR="00562660" w:rsidRPr="005A6D22">
        <w:t xml:space="preserve">système audio de dimensions suffisantes pour permettre la tenue de conférences </w:t>
      </w:r>
    </w:p>
    <w:p w14:paraId="02518540" w14:textId="65D493B8" w:rsidR="00562660" w:rsidRPr="005A6D22" w:rsidRDefault="00562660" w:rsidP="00785501">
      <w:pPr>
        <w:pStyle w:val="Paragraphedeliste"/>
        <w:numPr>
          <w:ilvl w:val="0"/>
          <w:numId w:val="11"/>
        </w:numPr>
        <w:jc w:val="both"/>
      </w:pPr>
      <w:r w:rsidRPr="005A6D22">
        <w:t xml:space="preserve">La proposition devra comprendre la mise à disposition d’un technicien en permanence sur le stand de la livraison du stand au vendredi 16 juin. </w:t>
      </w:r>
    </w:p>
    <w:p w14:paraId="0C7199DB" w14:textId="77777777" w:rsidR="00562660" w:rsidRPr="005A6D22" w:rsidRDefault="00562660" w:rsidP="005A6D22">
      <w:pPr>
        <w:jc w:val="both"/>
      </w:pPr>
    </w:p>
    <w:p w14:paraId="464206E8" w14:textId="77777777" w:rsidR="00AA42F2" w:rsidRPr="005A6D22" w:rsidRDefault="00AA42F2" w:rsidP="005A6D22">
      <w:pPr>
        <w:jc w:val="both"/>
      </w:pPr>
    </w:p>
    <w:p w14:paraId="7B0812D6" w14:textId="77777777" w:rsidR="00562660" w:rsidRPr="005A6D22" w:rsidRDefault="00562660" w:rsidP="00FC76CE">
      <w:pPr>
        <w:pStyle w:val="Titre2"/>
      </w:pPr>
      <w:bookmarkStart w:id="9" w:name="_Toc455669011"/>
      <w:r w:rsidRPr="005A6D22">
        <w:t>Détails des prestations attendues</w:t>
      </w:r>
      <w:bookmarkEnd w:id="9"/>
      <w:r w:rsidRPr="005A6D22">
        <w:t xml:space="preserve"> </w:t>
      </w:r>
    </w:p>
    <w:p w14:paraId="06FA14BE" w14:textId="77777777" w:rsidR="00326B28" w:rsidRDefault="00326B28" w:rsidP="005A6D22">
      <w:pPr>
        <w:jc w:val="both"/>
        <w:rPr>
          <w:bCs/>
        </w:rPr>
      </w:pPr>
    </w:p>
    <w:p w14:paraId="7FC78816" w14:textId="77777777" w:rsidR="00562660" w:rsidRPr="005A6D22" w:rsidRDefault="00562660" w:rsidP="005A6D22">
      <w:pPr>
        <w:jc w:val="both"/>
        <w:rPr>
          <w:bCs/>
        </w:rPr>
      </w:pPr>
      <w:r w:rsidRPr="005A6D22">
        <w:rPr>
          <w:bCs/>
        </w:rPr>
        <w:t xml:space="preserve">Le prestataire devra : </w:t>
      </w:r>
    </w:p>
    <w:p w14:paraId="24BCA702" w14:textId="77777777" w:rsidR="00562660" w:rsidRPr="00ED79F5" w:rsidRDefault="00562660" w:rsidP="00785501">
      <w:pPr>
        <w:pStyle w:val="Paragraphedeliste"/>
        <w:numPr>
          <w:ilvl w:val="0"/>
          <w:numId w:val="5"/>
        </w:numPr>
        <w:jc w:val="both"/>
        <w:rPr>
          <w:bCs/>
        </w:rPr>
      </w:pPr>
      <w:r w:rsidRPr="00ED79F5">
        <w:rPr>
          <w:bCs/>
        </w:rPr>
        <w:t>Concevoir l’architecture du stand et son agencement selon la répartition déterminée ci-dessus ;</w:t>
      </w:r>
    </w:p>
    <w:p w14:paraId="745FCAAB" w14:textId="77777777" w:rsidR="00562660" w:rsidRPr="00ED79F5" w:rsidRDefault="00562660" w:rsidP="00785501">
      <w:pPr>
        <w:pStyle w:val="Paragraphedeliste"/>
        <w:numPr>
          <w:ilvl w:val="0"/>
          <w:numId w:val="5"/>
        </w:numPr>
        <w:jc w:val="both"/>
        <w:rPr>
          <w:bCs/>
        </w:rPr>
      </w:pPr>
      <w:r w:rsidRPr="00ED79F5">
        <w:rPr>
          <w:bCs/>
        </w:rPr>
        <w:t>Fournir et fabriquer  l’intégralité des composantes du stand ainsi que la PLV ;</w:t>
      </w:r>
    </w:p>
    <w:p w14:paraId="19EF0540" w14:textId="77777777" w:rsidR="00562660" w:rsidRPr="00ED79F5" w:rsidRDefault="00562660" w:rsidP="00785501">
      <w:pPr>
        <w:pStyle w:val="Paragraphedeliste"/>
        <w:numPr>
          <w:ilvl w:val="0"/>
          <w:numId w:val="5"/>
        </w:numPr>
        <w:jc w:val="both"/>
        <w:rPr>
          <w:bCs/>
        </w:rPr>
      </w:pPr>
      <w:r w:rsidRPr="00ED79F5">
        <w:rPr>
          <w:bCs/>
        </w:rPr>
        <w:t>Assurer le montage du stand en conformité avec le guide technique du salon du Bourget  tout  en respectant les règles de sécurité et la législation du droit du travail ;</w:t>
      </w:r>
    </w:p>
    <w:p w14:paraId="01A916EF" w14:textId="1F3AD4C5" w:rsidR="00562660" w:rsidRPr="00ED79F5" w:rsidRDefault="00562660" w:rsidP="00785501">
      <w:pPr>
        <w:pStyle w:val="Paragraphedeliste"/>
        <w:numPr>
          <w:ilvl w:val="0"/>
          <w:numId w:val="5"/>
        </w:numPr>
        <w:jc w:val="both"/>
        <w:rPr>
          <w:bCs/>
        </w:rPr>
      </w:pPr>
      <w:r w:rsidRPr="00ED79F5">
        <w:rPr>
          <w:bCs/>
        </w:rPr>
        <w:t>Prévoir des déplacements sur Paris pour les réunions techniques organisées par le SIAE</w:t>
      </w:r>
      <w:r w:rsidR="00ED79F5">
        <w:rPr>
          <w:bCs/>
        </w:rPr>
        <w:t> ;</w:t>
      </w:r>
    </w:p>
    <w:p w14:paraId="0124D450" w14:textId="5E12960A" w:rsidR="00F47C4D" w:rsidRPr="00ED79F5" w:rsidRDefault="00F47C4D" w:rsidP="00785501">
      <w:pPr>
        <w:pStyle w:val="Paragraphedeliste"/>
        <w:numPr>
          <w:ilvl w:val="0"/>
          <w:numId w:val="5"/>
        </w:numPr>
        <w:jc w:val="both"/>
        <w:rPr>
          <w:rFonts w:cs="Arial"/>
          <w:bCs/>
        </w:rPr>
      </w:pPr>
      <w:r>
        <w:t>L</w:t>
      </w:r>
      <w:r w:rsidRPr="005A6D22">
        <w:t>ivrer et achever le montage du stand le vendredi 16 juin, afin que la commission sécurité puisse donner son accord le samedi 17 juin.</w:t>
      </w:r>
    </w:p>
    <w:p w14:paraId="4EE18885" w14:textId="77777777" w:rsidR="00562660" w:rsidRPr="00ED79F5" w:rsidRDefault="00562660" w:rsidP="00785501">
      <w:pPr>
        <w:pStyle w:val="Paragraphedeliste"/>
        <w:numPr>
          <w:ilvl w:val="0"/>
          <w:numId w:val="5"/>
        </w:numPr>
        <w:jc w:val="both"/>
        <w:rPr>
          <w:bCs/>
        </w:rPr>
      </w:pPr>
      <w:r w:rsidRPr="00ED79F5">
        <w:rPr>
          <w:bCs/>
        </w:rPr>
        <w:t>Prévoir une maintenance électrique, informatique et audio-visuelle sur le stand du lundi 19 juin matin à l’ouverture du salon au vendredi 25 juin au soir par la mise à disposition d’un technicien sur place ;</w:t>
      </w:r>
    </w:p>
    <w:p w14:paraId="3D3F2AEA" w14:textId="13A94B16" w:rsidR="00562660" w:rsidRPr="00ED79F5" w:rsidRDefault="00562660" w:rsidP="00785501">
      <w:pPr>
        <w:pStyle w:val="Paragraphedeliste"/>
        <w:numPr>
          <w:ilvl w:val="0"/>
          <w:numId w:val="5"/>
        </w:numPr>
        <w:jc w:val="both"/>
        <w:rPr>
          <w:bCs/>
        </w:rPr>
      </w:pPr>
      <w:r w:rsidRPr="00ED79F5">
        <w:rPr>
          <w:bCs/>
        </w:rPr>
        <w:t>Assurer le démontage du stand entre le lundi 28 juin et le vendredi 1</w:t>
      </w:r>
      <w:r w:rsidRPr="00ED79F5">
        <w:rPr>
          <w:bCs/>
          <w:vertAlign w:val="superscript"/>
        </w:rPr>
        <w:t>er</w:t>
      </w:r>
      <w:r w:rsidRPr="00ED79F5">
        <w:rPr>
          <w:bCs/>
        </w:rPr>
        <w:t xml:space="preserve"> juillet 2017 (</w:t>
      </w:r>
      <w:proofErr w:type="spellStart"/>
      <w:r w:rsidRPr="00ED79F5">
        <w:rPr>
          <w:bCs/>
        </w:rPr>
        <w:t>cf</w:t>
      </w:r>
      <w:proofErr w:type="spellEnd"/>
      <w:r w:rsidRPr="00ED79F5">
        <w:rPr>
          <w:bCs/>
        </w:rPr>
        <w:t xml:space="preserve">  guide technique du salon SIAE)</w:t>
      </w:r>
      <w:r w:rsidR="00F47C4D" w:rsidRPr="00F47C4D">
        <w:t xml:space="preserve"> </w:t>
      </w:r>
      <w:r w:rsidR="00F47C4D">
        <w:t xml:space="preserve">et en assurer le stockage </w:t>
      </w:r>
      <w:r w:rsidR="00F47C4D" w:rsidRPr="005A6D22">
        <w:t>le recyclage ou la destruction.</w:t>
      </w:r>
    </w:p>
    <w:p w14:paraId="3B5E14B8" w14:textId="22729744" w:rsidR="00562660" w:rsidRDefault="00562660" w:rsidP="00785501">
      <w:pPr>
        <w:pStyle w:val="Paragraphedeliste"/>
        <w:numPr>
          <w:ilvl w:val="0"/>
          <w:numId w:val="5"/>
        </w:numPr>
        <w:jc w:val="both"/>
        <w:rPr>
          <w:bCs/>
        </w:rPr>
      </w:pPr>
      <w:r w:rsidRPr="00ED79F5">
        <w:rPr>
          <w:bCs/>
        </w:rPr>
        <w:t>Récupérer l’intégralité</w:t>
      </w:r>
      <w:r w:rsidR="007D58F8">
        <w:rPr>
          <w:bCs/>
        </w:rPr>
        <w:t xml:space="preserve"> du stand (cloison, mobilier…</w:t>
      </w:r>
      <w:r w:rsidRPr="00ED79F5">
        <w:rPr>
          <w:bCs/>
        </w:rPr>
        <w:t>) à l’issue du démontage du stand.</w:t>
      </w:r>
    </w:p>
    <w:p w14:paraId="2D6197AF" w14:textId="77777777" w:rsidR="00E04FF6" w:rsidRDefault="00E04FF6" w:rsidP="00E04FF6">
      <w:pPr>
        <w:pStyle w:val="Paragraphedeliste"/>
        <w:jc w:val="both"/>
        <w:rPr>
          <w:bCs/>
        </w:rPr>
      </w:pPr>
    </w:p>
    <w:p w14:paraId="4211E7D1" w14:textId="77231A7B" w:rsidR="00747AD9" w:rsidRPr="005A6D22" w:rsidRDefault="005A6D22" w:rsidP="00ED79F5">
      <w:pPr>
        <w:pStyle w:val="Titre1"/>
      </w:pPr>
      <w:bookmarkStart w:id="10" w:name="_Toc455669012"/>
      <w:r w:rsidRPr="005A6D22">
        <w:t>Budget</w:t>
      </w:r>
      <w:bookmarkEnd w:id="10"/>
    </w:p>
    <w:p w14:paraId="42FA65EF" w14:textId="77777777" w:rsidR="00326B28" w:rsidRDefault="00326B28" w:rsidP="00ED79F5">
      <w:pPr>
        <w:jc w:val="both"/>
      </w:pPr>
    </w:p>
    <w:p w14:paraId="261EA600" w14:textId="043D0ECB" w:rsidR="00ED79F5" w:rsidRPr="005A6D22" w:rsidRDefault="00326B28" w:rsidP="00ED79F5">
      <w:pPr>
        <w:jc w:val="both"/>
      </w:pPr>
      <w:r>
        <w:t>L</w:t>
      </w:r>
      <w:r w:rsidR="00ED79F5" w:rsidRPr="005A6D22">
        <w:t xml:space="preserve">’enveloppe budgétaire globale pour la réalisation de cette opération (la conception, la réalisation du stand et son équipement) s’évalue entre 150 000 € HT et 160 000 €HT. </w:t>
      </w:r>
    </w:p>
    <w:p w14:paraId="43F72201" w14:textId="1404CE0C" w:rsidR="00E04FF6" w:rsidRDefault="00E04FF6">
      <w:r>
        <w:br w:type="page"/>
      </w:r>
    </w:p>
    <w:p w14:paraId="1761620D" w14:textId="77777777" w:rsidR="00F944D5" w:rsidRDefault="00F944D5" w:rsidP="005A6D22">
      <w:pPr>
        <w:jc w:val="both"/>
      </w:pPr>
    </w:p>
    <w:p w14:paraId="5166EA75" w14:textId="29344F20" w:rsidR="00ED79F5" w:rsidRDefault="00ED79F5" w:rsidP="00326B28">
      <w:pPr>
        <w:pStyle w:val="Titre2"/>
      </w:pPr>
      <w:bookmarkStart w:id="11" w:name="_Toc455669013"/>
      <w:r>
        <w:t>Critères de sélection</w:t>
      </w:r>
      <w:bookmarkEnd w:id="11"/>
    </w:p>
    <w:p w14:paraId="4F2728CD" w14:textId="77777777" w:rsidR="00A82D70" w:rsidRDefault="00A82D70" w:rsidP="005A6D22">
      <w:pPr>
        <w:jc w:val="both"/>
        <w:rPr>
          <w:b/>
          <w:bCs/>
          <w:color w:val="000000"/>
          <w:lang w:eastAsia="fr-FR"/>
        </w:rPr>
      </w:pPr>
    </w:p>
    <w:tbl>
      <w:tblPr>
        <w:tblStyle w:val="Grilledutableau"/>
        <w:tblW w:w="0" w:type="auto"/>
        <w:tblInd w:w="93" w:type="dxa"/>
        <w:tblLook w:val="04A0" w:firstRow="1" w:lastRow="0" w:firstColumn="1" w:lastColumn="0" w:noHBand="0" w:noVBand="1"/>
      </w:tblPr>
      <w:tblGrid>
        <w:gridCol w:w="3480"/>
        <w:gridCol w:w="4111"/>
        <w:gridCol w:w="1206"/>
      </w:tblGrid>
      <w:tr w:rsidR="00326B28" w:rsidRPr="00326B28" w14:paraId="13DA2CB6" w14:textId="77777777" w:rsidTr="00326B28">
        <w:trPr>
          <w:trHeight w:val="585"/>
        </w:trPr>
        <w:tc>
          <w:tcPr>
            <w:tcW w:w="3480" w:type="dxa"/>
            <w:noWrap/>
            <w:vAlign w:val="center"/>
            <w:hideMark/>
          </w:tcPr>
          <w:p w14:paraId="24C6B300" w14:textId="77777777" w:rsidR="00326B28" w:rsidRPr="00326B28" w:rsidRDefault="00326B28" w:rsidP="00326B28">
            <w:pPr>
              <w:rPr>
                <w:rFonts w:asciiTheme="minorHAnsi" w:hAnsiTheme="minorHAnsi"/>
                <w:b/>
                <w:bCs/>
                <w:color w:val="000000"/>
                <w:sz w:val="22"/>
              </w:rPr>
            </w:pPr>
            <w:r w:rsidRPr="00326B28">
              <w:rPr>
                <w:rFonts w:asciiTheme="minorHAnsi" w:hAnsiTheme="minorHAnsi"/>
                <w:b/>
                <w:bCs/>
                <w:color w:val="000000"/>
                <w:sz w:val="22"/>
              </w:rPr>
              <w:t>Rubrique</w:t>
            </w:r>
          </w:p>
        </w:tc>
        <w:tc>
          <w:tcPr>
            <w:tcW w:w="4111" w:type="dxa"/>
            <w:noWrap/>
            <w:vAlign w:val="center"/>
            <w:hideMark/>
          </w:tcPr>
          <w:p w14:paraId="75CDDA05" w14:textId="77777777" w:rsidR="00326B28" w:rsidRPr="00326B28" w:rsidRDefault="00326B28" w:rsidP="00326B28">
            <w:pPr>
              <w:rPr>
                <w:rFonts w:asciiTheme="minorHAnsi" w:hAnsiTheme="minorHAnsi"/>
                <w:b/>
                <w:bCs/>
                <w:color w:val="000000"/>
                <w:sz w:val="22"/>
              </w:rPr>
            </w:pPr>
            <w:r w:rsidRPr="00326B28">
              <w:rPr>
                <w:rFonts w:asciiTheme="minorHAnsi" w:hAnsiTheme="minorHAnsi"/>
                <w:b/>
                <w:bCs/>
                <w:color w:val="000000"/>
                <w:sz w:val="22"/>
              </w:rPr>
              <w:t>Attentes</w:t>
            </w:r>
          </w:p>
        </w:tc>
        <w:tc>
          <w:tcPr>
            <w:tcW w:w="1120" w:type="dxa"/>
            <w:noWrap/>
            <w:vAlign w:val="center"/>
            <w:hideMark/>
          </w:tcPr>
          <w:p w14:paraId="7531D58B" w14:textId="77777777" w:rsidR="00326B28" w:rsidRPr="00326B28" w:rsidRDefault="00326B28" w:rsidP="00326B28">
            <w:pPr>
              <w:rPr>
                <w:rFonts w:asciiTheme="minorHAnsi" w:hAnsiTheme="minorHAnsi"/>
                <w:b/>
                <w:bCs/>
                <w:color w:val="000000"/>
                <w:sz w:val="22"/>
              </w:rPr>
            </w:pPr>
            <w:r w:rsidRPr="00326B28">
              <w:rPr>
                <w:rFonts w:asciiTheme="minorHAnsi" w:hAnsiTheme="minorHAnsi"/>
                <w:b/>
                <w:bCs/>
                <w:color w:val="000000"/>
                <w:sz w:val="22"/>
              </w:rPr>
              <w:t>Coefficient</w:t>
            </w:r>
          </w:p>
        </w:tc>
      </w:tr>
      <w:tr w:rsidR="00326B28" w:rsidRPr="00326B28" w14:paraId="60DC86C2" w14:textId="77777777" w:rsidTr="00326B28">
        <w:trPr>
          <w:trHeight w:val="585"/>
        </w:trPr>
        <w:tc>
          <w:tcPr>
            <w:tcW w:w="3480" w:type="dxa"/>
            <w:vMerge w:val="restart"/>
            <w:noWrap/>
            <w:vAlign w:val="center"/>
            <w:hideMark/>
          </w:tcPr>
          <w:p w14:paraId="33F1F54B"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Design</w:t>
            </w:r>
          </w:p>
        </w:tc>
        <w:tc>
          <w:tcPr>
            <w:tcW w:w="4111" w:type="dxa"/>
            <w:noWrap/>
            <w:vAlign w:val="center"/>
            <w:hideMark/>
          </w:tcPr>
          <w:p w14:paraId="645C1A68"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Qualité de conception / créativité</w:t>
            </w:r>
          </w:p>
        </w:tc>
        <w:tc>
          <w:tcPr>
            <w:tcW w:w="1120" w:type="dxa"/>
            <w:noWrap/>
            <w:vAlign w:val="center"/>
            <w:hideMark/>
          </w:tcPr>
          <w:p w14:paraId="3C6DF1A8"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7</w:t>
            </w:r>
          </w:p>
        </w:tc>
      </w:tr>
      <w:tr w:rsidR="00326B28" w:rsidRPr="00326B28" w14:paraId="3F54872F" w14:textId="77777777" w:rsidTr="00326B28">
        <w:trPr>
          <w:trHeight w:val="585"/>
        </w:trPr>
        <w:tc>
          <w:tcPr>
            <w:tcW w:w="3480" w:type="dxa"/>
            <w:vMerge/>
            <w:vAlign w:val="center"/>
            <w:hideMark/>
          </w:tcPr>
          <w:p w14:paraId="072A9A52" w14:textId="77777777" w:rsidR="00326B28" w:rsidRPr="00326B28" w:rsidRDefault="00326B28" w:rsidP="00326B28">
            <w:pPr>
              <w:rPr>
                <w:rFonts w:asciiTheme="minorHAnsi" w:hAnsiTheme="minorHAnsi"/>
                <w:bCs/>
                <w:color w:val="000000"/>
                <w:sz w:val="22"/>
              </w:rPr>
            </w:pPr>
          </w:p>
        </w:tc>
        <w:tc>
          <w:tcPr>
            <w:tcW w:w="4111" w:type="dxa"/>
            <w:noWrap/>
            <w:vAlign w:val="center"/>
            <w:hideMark/>
          </w:tcPr>
          <w:p w14:paraId="086EE71A"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Décoration</w:t>
            </w:r>
          </w:p>
        </w:tc>
        <w:tc>
          <w:tcPr>
            <w:tcW w:w="1120" w:type="dxa"/>
            <w:noWrap/>
            <w:vAlign w:val="center"/>
            <w:hideMark/>
          </w:tcPr>
          <w:p w14:paraId="21A48379"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3</w:t>
            </w:r>
          </w:p>
        </w:tc>
      </w:tr>
      <w:tr w:rsidR="00326B28" w:rsidRPr="00326B28" w14:paraId="378DD50D" w14:textId="77777777" w:rsidTr="00326B28">
        <w:trPr>
          <w:trHeight w:val="585"/>
        </w:trPr>
        <w:tc>
          <w:tcPr>
            <w:tcW w:w="3480" w:type="dxa"/>
            <w:vMerge w:val="restart"/>
            <w:noWrap/>
            <w:vAlign w:val="center"/>
            <w:hideMark/>
          </w:tcPr>
          <w:p w14:paraId="28D2E1D4"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 xml:space="preserve">Adéquation aux </w:t>
            </w:r>
            <w:proofErr w:type="spellStart"/>
            <w:r w:rsidRPr="00326B28">
              <w:rPr>
                <w:rFonts w:asciiTheme="minorHAnsi" w:hAnsiTheme="minorHAnsi"/>
                <w:bCs/>
                <w:color w:val="000000"/>
                <w:sz w:val="22"/>
              </w:rPr>
              <w:t>specs</w:t>
            </w:r>
            <w:proofErr w:type="spellEnd"/>
            <w:r w:rsidRPr="00326B28">
              <w:rPr>
                <w:rFonts w:asciiTheme="minorHAnsi" w:hAnsiTheme="minorHAnsi"/>
                <w:bCs/>
                <w:color w:val="000000"/>
                <w:sz w:val="22"/>
              </w:rPr>
              <w:t xml:space="preserve"> / ergonomie</w:t>
            </w:r>
          </w:p>
        </w:tc>
        <w:tc>
          <w:tcPr>
            <w:tcW w:w="4111" w:type="dxa"/>
            <w:noWrap/>
            <w:vAlign w:val="center"/>
            <w:hideMark/>
          </w:tcPr>
          <w:p w14:paraId="3D2E4DFE"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Mezzanine</w:t>
            </w:r>
          </w:p>
        </w:tc>
        <w:tc>
          <w:tcPr>
            <w:tcW w:w="1120" w:type="dxa"/>
            <w:noWrap/>
            <w:vAlign w:val="center"/>
            <w:hideMark/>
          </w:tcPr>
          <w:p w14:paraId="3472EA28"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1</w:t>
            </w:r>
          </w:p>
        </w:tc>
      </w:tr>
      <w:tr w:rsidR="00326B28" w:rsidRPr="00326B28" w14:paraId="1AC4140F" w14:textId="77777777" w:rsidTr="00326B28">
        <w:trPr>
          <w:trHeight w:val="585"/>
        </w:trPr>
        <w:tc>
          <w:tcPr>
            <w:tcW w:w="3480" w:type="dxa"/>
            <w:vMerge/>
            <w:vAlign w:val="center"/>
            <w:hideMark/>
          </w:tcPr>
          <w:p w14:paraId="5733295D" w14:textId="77777777" w:rsidR="00326B28" w:rsidRPr="00326B28" w:rsidRDefault="00326B28" w:rsidP="00326B28">
            <w:pPr>
              <w:rPr>
                <w:rFonts w:asciiTheme="minorHAnsi" w:hAnsiTheme="minorHAnsi"/>
                <w:bCs/>
                <w:color w:val="000000"/>
                <w:sz w:val="22"/>
              </w:rPr>
            </w:pPr>
          </w:p>
        </w:tc>
        <w:tc>
          <w:tcPr>
            <w:tcW w:w="4111" w:type="dxa"/>
            <w:noWrap/>
            <w:vAlign w:val="center"/>
            <w:hideMark/>
          </w:tcPr>
          <w:p w14:paraId="60C6C63A"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Show-room</w:t>
            </w:r>
          </w:p>
        </w:tc>
        <w:tc>
          <w:tcPr>
            <w:tcW w:w="1120" w:type="dxa"/>
            <w:noWrap/>
            <w:vAlign w:val="center"/>
            <w:hideMark/>
          </w:tcPr>
          <w:p w14:paraId="44AF790F"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1</w:t>
            </w:r>
          </w:p>
        </w:tc>
      </w:tr>
      <w:tr w:rsidR="00326B28" w:rsidRPr="00326B28" w14:paraId="38CA4644" w14:textId="77777777" w:rsidTr="00326B28">
        <w:trPr>
          <w:trHeight w:val="585"/>
        </w:trPr>
        <w:tc>
          <w:tcPr>
            <w:tcW w:w="3480" w:type="dxa"/>
            <w:vMerge/>
            <w:vAlign w:val="center"/>
            <w:hideMark/>
          </w:tcPr>
          <w:p w14:paraId="6F425498" w14:textId="77777777" w:rsidR="00326B28" w:rsidRPr="00326B28" w:rsidRDefault="00326B28" w:rsidP="00326B28">
            <w:pPr>
              <w:rPr>
                <w:rFonts w:asciiTheme="minorHAnsi" w:hAnsiTheme="minorHAnsi"/>
                <w:bCs/>
                <w:color w:val="000000"/>
                <w:sz w:val="22"/>
              </w:rPr>
            </w:pPr>
          </w:p>
        </w:tc>
        <w:tc>
          <w:tcPr>
            <w:tcW w:w="4111" w:type="dxa"/>
            <w:noWrap/>
            <w:vAlign w:val="center"/>
            <w:hideMark/>
          </w:tcPr>
          <w:p w14:paraId="5EB4408E"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Stands individuels</w:t>
            </w:r>
          </w:p>
        </w:tc>
        <w:tc>
          <w:tcPr>
            <w:tcW w:w="1120" w:type="dxa"/>
            <w:noWrap/>
            <w:vAlign w:val="center"/>
            <w:hideMark/>
          </w:tcPr>
          <w:p w14:paraId="441D72CF"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1</w:t>
            </w:r>
          </w:p>
        </w:tc>
      </w:tr>
      <w:tr w:rsidR="00326B28" w:rsidRPr="00326B28" w14:paraId="01DDD537" w14:textId="77777777" w:rsidTr="00326B28">
        <w:trPr>
          <w:trHeight w:val="585"/>
        </w:trPr>
        <w:tc>
          <w:tcPr>
            <w:tcW w:w="3480" w:type="dxa"/>
            <w:vMerge w:val="restart"/>
            <w:noWrap/>
            <w:vAlign w:val="center"/>
            <w:hideMark/>
          </w:tcPr>
          <w:p w14:paraId="42F67B17"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Mobilier &amp; Equipement proposé</w:t>
            </w:r>
          </w:p>
        </w:tc>
        <w:tc>
          <w:tcPr>
            <w:tcW w:w="4111" w:type="dxa"/>
            <w:noWrap/>
            <w:vAlign w:val="center"/>
            <w:hideMark/>
          </w:tcPr>
          <w:p w14:paraId="04DCF9C6"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Mobilier stands (chaises, fauteuils, etc.)</w:t>
            </w:r>
          </w:p>
        </w:tc>
        <w:tc>
          <w:tcPr>
            <w:tcW w:w="1120" w:type="dxa"/>
            <w:noWrap/>
            <w:vAlign w:val="center"/>
            <w:hideMark/>
          </w:tcPr>
          <w:p w14:paraId="2C66E14B"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2</w:t>
            </w:r>
          </w:p>
        </w:tc>
      </w:tr>
      <w:tr w:rsidR="00326B28" w:rsidRPr="00326B28" w14:paraId="6B62657D" w14:textId="77777777" w:rsidTr="00326B28">
        <w:trPr>
          <w:trHeight w:val="585"/>
        </w:trPr>
        <w:tc>
          <w:tcPr>
            <w:tcW w:w="3480" w:type="dxa"/>
            <w:vMerge/>
            <w:vAlign w:val="center"/>
            <w:hideMark/>
          </w:tcPr>
          <w:p w14:paraId="36493FBA" w14:textId="77777777" w:rsidR="00326B28" w:rsidRPr="00326B28" w:rsidRDefault="00326B28" w:rsidP="00326B28">
            <w:pPr>
              <w:rPr>
                <w:rFonts w:asciiTheme="minorHAnsi" w:hAnsiTheme="minorHAnsi"/>
                <w:bCs/>
                <w:color w:val="000000"/>
                <w:sz w:val="22"/>
              </w:rPr>
            </w:pPr>
          </w:p>
        </w:tc>
        <w:tc>
          <w:tcPr>
            <w:tcW w:w="4111" w:type="dxa"/>
            <w:noWrap/>
            <w:vAlign w:val="center"/>
            <w:hideMark/>
          </w:tcPr>
          <w:p w14:paraId="331E8483"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Equipement audio-vidéo (écrans, vidéo, sono)</w:t>
            </w:r>
          </w:p>
        </w:tc>
        <w:tc>
          <w:tcPr>
            <w:tcW w:w="1120" w:type="dxa"/>
            <w:noWrap/>
            <w:vAlign w:val="center"/>
            <w:hideMark/>
          </w:tcPr>
          <w:p w14:paraId="34CE5A13"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2</w:t>
            </w:r>
          </w:p>
        </w:tc>
      </w:tr>
      <w:tr w:rsidR="00326B28" w:rsidRPr="00326B28" w14:paraId="6B3969A7" w14:textId="77777777" w:rsidTr="00326B28">
        <w:trPr>
          <w:trHeight w:val="585"/>
        </w:trPr>
        <w:tc>
          <w:tcPr>
            <w:tcW w:w="3480" w:type="dxa"/>
            <w:vMerge/>
            <w:vAlign w:val="center"/>
            <w:hideMark/>
          </w:tcPr>
          <w:p w14:paraId="38DC5D67" w14:textId="77777777" w:rsidR="00326B28" w:rsidRPr="00326B28" w:rsidRDefault="00326B28" w:rsidP="00326B28">
            <w:pPr>
              <w:rPr>
                <w:rFonts w:asciiTheme="minorHAnsi" w:hAnsiTheme="minorHAnsi"/>
                <w:bCs/>
                <w:color w:val="000000"/>
                <w:sz w:val="22"/>
              </w:rPr>
            </w:pPr>
          </w:p>
        </w:tc>
        <w:tc>
          <w:tcPr>
            <w:tcW w:w="4111" w:type="dxa"/>
            <w:vAlign w:val="center"/>
            <w:hideMark/>
          </w:tcPr>
          <w:p w14:paraId="78F80EF5"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Equipement technique (sols, prises, planchers, eau, réserves…)</w:t>
            </w:r>
          </w:p>
        </w:tc>
        <w:tc>
          <w:tcPr>
            <w:tcW w:w="1120" w:type="dxa"/>
            <w:noWrap/>
            <w:vAlign w:val="center"/>
            <w:hideMark/>
          </w:tcPr>
          <w:p w14:paraId="5F62C556"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2</w:t>
            </w:r>
          </w:p>
        </w:tc>
      </w:tr>
      <w:tr w:rsidR="00326B28" w:rsidRPr="00326B28" w14:paraId="6169EC6A" w14:textId="77777777" w:rsidTr="00326B28">
        <w:trPr>
          <w:trHeight w:val="585"/>
        </w:trPr>
        <w:tc>
          <w:tcPr>
            <w:tcW w:w="3480" w:type="dxa"/>
            <w:vMerge w:val="restart"/>
            <w:noWrap/>
            <w:vAlign w:val="center"/>
            <w:hideMark/>
          </w:tcPr>
          <w:p w14:paraId="14971DB6"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Adéquation au budget</w:t>
            </w:r>
          </w:p>
        </w:tc>
        <w:tc>
          <w:tcPr>
            <w:tcW w:w="4111" w:type="dxa"/>
            <w:noWrap/>
            <w:vAlign w:val="center"/>
            <w:hideMark/>
          </w:tcPr>
          <w:p w14:paraId="045B9448"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Budget Global</w:t>
            </w:r>
          </w:p>
        </w:tc>
        <w:tc>
          <w:tcPr>
            <w:tcW w:w="1120" w:type="dxa"/>
            <w:noWrap/>
            <w:vAlign w:val="center"/>
            <w:hideMark/>
          </w:tcPr>
          <w:p w14:paraId="4854345F"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8</w:t>
            </w:r>
          </w:p>
        </w:tc>
      </w:tr>
      <w:tr w:rsidR="00326B28" w:rsidRPr="00326B28" w14:paraId="62F76DB0" w14:textId="77777777" w:rsidTr="00326B28">
        <w:trPr>
          <w:trHeight w:val="585"/>
        </w:trPr>
        <w:tc>
          <w:tcPr>
            <w:tcW w:w="3480" w:type="dxa"/>
            <w:vMerge/>
            <w:vAlign w:val="center"/>
            <w:hideMark/>
          </w:tcPr>
          <w:p w14:paraId="379F786C" w14:textId="77777777" w:rsidR="00326B28" w:rsidRPr="00326B28" w:rsidRDefault="00326B28" w:rsidP="00326B28">
            <w:pPr>
              <w:rPr>
                <w:rFonts w:asciiTheme="minorHAnsi" w:hAnsiTheme="minorHAnsi"/>
                <w:bCs/>
                <w:color w:val="000000"/>
                <w:sz w:val="22"/>
              </w:rPr>
            </w:pPr>
          </w:p>
        </w:tc>
        <w:tc>
          <w:tcPr>
            <w:tcW w:w="4111" w:type="dxa"/>
            <w:noWrap/>
            <w:vAlign w:val="center"/>
            <w:hideMark/>
          </w:tcPr>
          <w:p w14:paraId="7BDB9FDF" w14:textId="77777777" w:rsidR="00326B28" w:rsidRPr="00326B28" w:rsidRDefault="00326B28" w:rsidP="00326B28">
            <w:pPr>
              <w:rPr>
                <w:rFonts w:asciiTheme="minorHAnsi" w:hAnsiTheme="minorHAnsi"/>
                <w:bCs/>
                <w:color w:val="000000"/>
                <w:sz w:val="22"/>
              </w:rPr>
            </w:pPr>
            <w:r w:rsidRPr="00326B28">
              <w:rPr>
                <w:rFonts w:asciiTheme="minorHAnsi" w:hAnsiTheme="minorHAnsi"/>
                <w:bCs/>
                <w:color w:val="000000"/>
                <w:sz w:val="22"/>
              </w:rPr>
              <w:t>Absence d'options indispensables</w:t>
            </w:r>
          </w:p>
        </w:tc>
        <w:tc>
          <w:tcPr>
            <w:tcW w:w="1120" w:type="dxa"/>
            <w:noWrap/>
            <w:vAlign w:val="center"/>
            <w:hideMark/>
          </w:tcPr>
          <w:p w14:paraId="339129A5" w14:textId="77777777" w:rsidR="00326B28" w:rsidRPr="00326B28" w:rsidRDefault="00326B28" w:rsidP="00326B28">
            <w:pPr>
              <w:jc w:val="center"/>
              <w:rPr>
                <w:rFonts w:asciiTheme="minorHAnsi" w:hAnsiTheme="minorHAnsi"/>
                <w:bCs/>
                <w:color w:val="000000"/>
                <w:sz w:val="22"/>
              </w:rPr>
            </w:pPr>
            <w:r w:rsidRPr="00326B28">
              <w:rPr>
                <w:rFonts w:asciiTheme="minorHAnsi" w:hAnsiTheme="minorHAnsi"/>
                <w:bCs/>
                <w:color w:val="000000"/>
                <w:sz w:val="22"/>
              </w:rPr>
              <w:t>2</w:t>
            </w:r>
          </w:p>
        </w:tc>
      </w:tr>
    </w:tbl>
    <w:p w14:paraId="52F6412F" w14:textId="77777777" w:rsidR="00100E7A" w:rsidRPr="005A6D22" w:rsidRDefault="00100E7A" w:rsidP="005A6D22">
      <w:pPr>
        <w:jc w:val="both"/>
        <w:rPr>
          <w:b/>
        </w:rPr>
      </w:pPr>
    </w:p>
    <w:p w14:paraId="56CC4834" w14:textId="77777777" w:rsidR="00F47C4D" w:rsidRDefault="00F47C4D" w:rsidP="00F47C4D">
      <w:pPr>
        <w:pStyle w:val="Titre2"/>
      </w:pPr>
      <w:bookmarkStart w:id="12" w:name="_Toc455669014"/>
      <w:r>
        <w:t>Jury de sélection</w:t>
      </w:r>
      <w:bookmarkEnd w:id="12"/>
    </w:p>
    <w:p w14:paraId="75FADAF7" w14:textId="2121CE18" w:rsidR="00F47C4D" w:rsidRDefault="00F47C4D" w:rsidP="00F47C4D">
      <w:pPr>
        <w:jc w:val="both"/>
      </w:pPr>
      <w:r>
        <w:t xml:space="preserve">Les propositions des prestataires seront examinées par un </w:t>
      </w:r>
      <w:r w:rsidRPr="00F47C4D">
        <w:t xml:space="preserve">Jury constitué </w:t>
      </w:r>
      <w:r>
        <w:t>de</w:t>
      </w:r>
      <w:r w:rsidR="007D58F8">
        <w:t xml:space="preserve"> représentants de</w:t>
      </w:r>
      <w:r>
        <w:t xml:space="preserve"> SAFE Cluster, de la Région Provence-Alpes-</w:t>
      </w:r>
      <w:r w:rsidRPr="00F47C4D">
        <w:t xml:space="preserve">Côte d’Azur, de l’Agence Régionale de l’Innovation (ARIII), et de la Métropole </w:t>
      </w:r>
      <w:r>
        <w:t>Aix Marseille</w:t>
      </w:r>
      <w:r w:rsidRPr="00F47C4D">
        <w:t>.</w:t>
      </w:r>
    </w:p>
    <w:p w14:paraId="228E34F1" w14:textId="77777777" w:rsidR="00FC76CE" w:rsidRPr="005A6D22" w:rsidRDefault="00FC76CE" w:rsidP="00F47C4D">
      <w:pPr>
        <w:jc w:val="both"/>
      </w:pPr>
    </w:p>
    <w:p w14:paraId="7092A46C" w14:textId="77777777" w:rsidR="00562660" w:rsidRPr="005A6D22" w:rsidRDefault="00562660" w:rsidP="00ED79F5">
      <w:pPr>
        <w:pStyle w:val="Titre1"/>
      </w:pPr>
      <w:bookmarkStart w:id="13" w:name="_Toc455669015"/>
      <w:r w:rsidRPr="005A6D22">
        <w:t>Modalités de réponse</w:t>
      </w:r>
      <w:bookmarkEnd w:id="13"/>
    </w:p>
    <w:p w14:paraId="366A8738" w14:textId="484D25FF" w:rsidR="000A500B" w:rsidRPr="005A6D22" w:rsidRDefault="00FC76CE" w:rsidP="000A500B">
      <w:pPr>
        <w:jc w:val="both"/>
      </w:pPr>
      <w:r>
        <w:t>I</w:t>
      </w:r>
      <w:r w:rsidR="000A500B" w:rsidRPr="005A6D22">
        <w:t>l est demandé à chaque prestataire candidat de remettre un projet comprenant :</w:t>
      </w:r>
    </w:p>
    <w:p w14:paraId="2F7944A6" w14:textId="656BE607" w:rsidR="00E04FF6" w:rsidRDefault="00E04FF6" w:rsidP="00E04FF6">
      <w:pPr>
        <w:pStyle w:val="Paragraphedeliste"/>
        <w:numPr>
          <w:ilvl w:val="0"/>
          <w:numId w:val="17"/>
        </w:numPr>
        <w:jc w:val="both"/>
      </w:pPr>
      <w:r>
        <w:t xml:space="preserve">Au moins 3 vues 3D du projet </w:t>
      </w:r>
    </w:p>
    <w:p w14:paraId="5A4B73E9" w14:textId="7EA29783" w:rsidR="00E04FF6" w:rsidRDefault="00E04FF6" w:rsidP="00E04FF6">
      <w:pPr>
        <w:pStyle w:val="Paragraphedeliste"/>
        <w:numPr>
          <w:ilvl w:val="0"/>
          <w:numId w:val="17"/>
        </w:numPr>
        <w:jc w:val="both"/>
      </w:pPr>
      <w:r>
        <w:t xml:space="preserve">Une note argumentaire </w:t>
      </w:r>
    </w:p>
    <w:p w14:paraId="1BAAA928" w14:textId="563F8E03" w:rsidR="00E04FF6" w:rsidRDefault="00E04FF6" w:rsidP="00E04FF6">
      <w:pPr>
        <w:pStyle w:val="Paragraphedeliste"/>
        <w:numPr>
          <w:ilvl w:val="0"/>
          <w:numId w:val="17"/>
        </w:numPr>
        <w:jc w:val="both"/>
      </w:pPr>
      <w:r>
        <w:t>Un budget détaillé en € TTC et  HT</w:t>
      </w:r>
    </w:p>
    <w:p w14:paraId="7D283281" w14:textId="3F3F0EF6" w:rsidR="00E04FF6" w:rsidRDefault="00E04FF6" w:rsidP="00E04FF6">
      <w:pPr>
        <w:pStyle w:val="Paragraphedeliste"/>
        <w:numPr>
          <w:ilvl w:val="0"/>
          <w:numId w:val="17"/>
        </w:numPr>
        <w:jc w:val="both"/>
      </w:pPr>
      <w:r>
        <w:t xml:space="preserve">Un rétro planning de conception </w:t>
      </w:r>
    </w:p>
    <w:p w14:paraId="0A2669F0" w14:textId="695996C0" w:rsidR="00E04FF6" w:rsidRDefault="00E04FF6" w:rsidP="00E04FF6">
      <w:pPr>
        <w:pStyle w:val="Paragraphedeliste"/>
        <w:numPr>
          <w:ilvl w:val="0"/>
          <w:numId w:val="17"/>
        </w:numPr>
        <w:jc w:val="both"/>
      </w:pPr>
      <w:r>
        <w:t>Une attestation établie par le prestataire confirmant qu’il est en règle avec l’ensemble de la réglementation du droit du travail</w:t>
      </w:r>
    </w:p>
    <w:p w14:paraId="5A999A90" w14:textId="77777777" w:rsidR="00E04FF6" w:rsidRDefault="00E04FF6" w:rsidP="00E04FF6">
      <w:pPr>
        <w:pStyle w:val="Paragraphedeliste"/>
        <w:numPr>
          <w:ilvl w:val="0"/>
          <w:numId w:val="17"/>
        </w:numPr>
        <w:jc w:val="both"/>
      </w:pPr>
      <w:r>
        <w:t>Une a</w:t>
      </w:r>
      <w:r w:rsidRPr="005A6D22">
        <w:t>ttestation de conformité aux normes de sécurité en vigueur et fourniture du PV de classement au feu</w:t>
      </w:r>
      <w:r>
        <w:t xml:space="preserve"> </w:t>
      </w:r>
    </w:p>
    <w:p w14:paraId="3AB0ECCD" w14:textId="51CB7907" w:rsidR="000A500B" w:rsidRPr="005A6D22" w:rsidRDefault="00E04FF6" w:rsidP="00E04FF6">
      <w:pPr>
        <w:pStyle w:val="Paragraphedeliste"/>
        <w:numPr>
          <w:ilvl w:val="0"/>
          <w:numId w:val="17"/>
        </w:numPr>
        <w:jc w:val="both"/>
      </w:pPr>
      <w:r>
        <w:t>Une attestation d’assurance</w:t>
      </w:r>
    </w:p>
    <w:p w14:paraId="43C148C1" w14:textId="77777777" w:rsidR="00E04FF6" w:rsidRDefault="00E04FF6" w:rsidP="000A500B">
      <w:pPr>
        <w:jc w:val="both"/>
      </w:pPr>
    </w:p>
    <w:p w14:paraId="6910EBED" w14:textId="77777777" w:rsidR="00E04FF6" w:rsidRDefault="00E04FF6" w:rsidP="005A6D22">
      <w:pPr>
        <w:jc w:val="both"/>
      </w:pPr>
    </w:p>
    <w:p w14:paraId="0DFB4F56" w14:textId="77777777" w:rsidR="00E04FF6" w:rsidRDefault="00E04FF6" w:rsidP="005A6D22">
      <w:pPr>
        <w:jc w:val="both"/>
      </w:pPr>
    </w:p>
    <w:p w14:paraId="4CC8A759" w14:textId="77777777" w:rsidR="00562660" w:rsidRPr="005A6D22" w:rsidRDefault="00562660" w:rsidP="005A6D22">
      <w:pPr>
        <w:jc w:val="both"/>
        <w:rPr>
          <w:rFonts w:cs="Arial"/>
          <w:i/>
          <w:iCs/>
        </w:rPr>
      </w:pPr>
      <w:r w:rsidRPr="005A6D22">
        <w:lastRenderedPageBreak/>
        <w:t xml:space="preserve">La date limite de réponse est fixée au </w:t>
      </w:r>
      <w:r w:rsidRPr="005A6D22">
        <w:rPr>
          <w:b/>
          <w:bCs/>
        </w:rPr>
        <w:t>lundi 5 septembre 2017 à 12 heures</w:t>
      </w:r>
      <w:r w:rsidRPr="005A6D22">
        <w:rPr>
          <w:b/>
          <w:bCs/>
          <w:i/>
          <w:iCs/>
        </w:rPr>
        <w:t>.</w:t>
      </w:r>
    </w:p>
    <w:p w14:paraId="48C8D327" w14:textId="77777777" w:rsidR="00562660" w:rsidRPr="005A6D22" w:rsidRDefault="00562660" w:rsidP="005A6D22">
      <w:pPr>
        <w:jc w:val="both"/>
      </w:pPr>
      <w:r w:rsidRPr="005A6D22">
        <w:t>Toute proposition transmise hors délais sera rejetée.</w:t>
      </w:r>
    </w:p>
    <w:p w14:paraId="5B59667E" w14:textId="77777777" w:rsidR="00562660" w:rsidRPr="005A6D22" w:rsidRDefault="00562660" w:rsidP="005A6D22">
      <w:pPr>
        <w:jc w:val="both"/>
      </w:pPr>
      <w:r w:rsidRPr="005A6D22">
        <w:t>La validité de votre offre est fixée à 30 jours (à notifier sur votre devis).</w:t>
      </w:r>
    </w:p>
    <w:p w14:paraId="699D9B0F" w14:textId="77777777" w:rsidR="000A500B" w:rsidRDefault="000A500B" w:rsidP="005A6D22">
      <w:pPr>
        <w:jc w:val="both"/>
      </w:pPr>
    </w:p>
    <w:p w14:paraId="0FBDDC1F" w14:textId="77777777" w:rsidR="00562660" w:rsidRPr="005A6D22" w:rsidRDefault="00562660" w:rsidP="005A6D22">
      <w:pPr>
        <w:jc w:val="both"/>
      </w:pPr>
      <w:r w:rsidRPr="005A6D22">
        <w:t xml:space="preserve">La réponse peut être effectuée par </w:t>
      </w:r>
      <w:r w:rsidRPr="005A6D22">
        <w:rPr>
          <w:rFonts w:cs="Arial Narrow"/>
        </w:rPr>
        <w:t xml:space="preserve">Mail : </w:t>
      </w:r>
      <w:hyperlink r:id="rId12" w:history="1">
        <w:r w:rsidRPr="005A6D22">
          <w:rPr>
            <w:rStyle w:val="Lienhypertexte"/>
          </w:rPr>
          <w:t>christine.ando@safecluster.com</w:t>
        </w:r>
      </w:hyperlink>
      <w:r w:rsidRPr="005A6D22">
        <w:rPr>
          <w:rStyle w:val="Lienhypertexte"/>
        </w:rPr>
        <w:t xml:space="preserve"> </w:t>
      </w:r>
      <w:r w:rsidRPr="005A6D22">
        <w:t xml:space="preserve">ou par courrier à l’adresse suivante : </w:t>
      </w:r>
    </w:p>
    <w:p w14:paraId="01B25DC5" w14:textId="77777777" w:rsidR="00562660" w:rsidRPr="005A6D22" w:rsidRDefault="00562660" w:rsidP="005A6D22">
      <w:pPr>
        <w:jc w:val="both"/>
      </w:pPr>
      <w:r w:rsidRPr="005A6D22">
        <w:t>SAFE Cluster – Domaine du Petit Arbois - BP 10028- 13545 Aix en Provence cedex 4</w:t>
      </w:r>
    </w:p>
    <w:p w14:paraId="32C3ED23" w14:textId="77777777" w:rsidR="00562660" w:rsidRPr="005A6D22" w:rsidRDefault="00562660" w:rsidP="005A6D22">
      <w:pPr>
        <w:jc w:val="both"/>
      </w:pPr>
    </w:p>
    <w:p w14:paraId="1E60D6DD" w14:textId="4D1269CC" w:rsidR="000A500B" w:rsidRDefault="000A500B" w:rsidP="000A500B">
      <w:pPr>
        <w:jc w:val="both"/>
      </w:pPr>
      <w:r w:rsidRPr="005A6D22">
        <w:t xml:space="preserve">Sur la base des critères énoncés en point 5, le </w:t>
      </w:r>
      <w:r w:rsidR="00F47C4D">
        <w:t>Jury</w:t>
      </w:r>
      <w:r w:rsidRPr="005A6D22">
        <w:t xml:space="preserve"> retiendra 3 prestataires. Safe Cluster prendra contact avec eux en vue d’organiser une présentation de leur projet </w:t>
      </w:r>
      <w:r>
        <w:t>à Marseille</w:t>
      </w:r>
      <w:r w:rsidRPr="005A6D22">
        <w:t>.</w:t>
      </w:r>
    </w:p>
    <w:p w14:paraId="771DA3F0" w14:textId="77777777" w:rsidR="00562660" w:rsidRPr="005A6D22" w:rsidRDefault="00562660" w:rsidP="005A6D22">
      <w:pPr>
        <w:jc w:val="both"/>
        <w:rPr>
          <w:rFonts w:cs="Arial Narrow"/>
          <w:b/>
        </w:rPr>
      </w:pPr>
    </w:p>
    <w:p w14:paraId="4328FB26" w14:textId="22B530AE" w:rsidR="00562660" w:rsidRPr="005A6D22" w:rsidRDefault="00326B28" w:rsidP="005A6D22">
      <w:pPr>
        <w:jc w:val="both"/>
        <w:rPr>
          <w:rFonts w:cs="Arial Narrow"/>
        </w:rPr>
      </w:pPr>
      <w:r w:rsidRPr="00326B28">
        <w:rPr>
          <w:rFonts w:cs="Arial Narrow"/>
          <w:bCs/>
        </w:rPr>
        <w:t xml:space="preserve">Afin de respecter l’équité du traitement entre les candidats, </w:t>
      </w:r>
      <w:r>
        <w:rPr>
          <w:rFonts w:cs="Arial Narrow"/>
          <w:bCs/>
        </w:rPr>
        <w:t xml:space="preserve">les questions doivent être formulées uniquement par écrit à l’attention de </w:t>
      </w:r>
      <w:r w:rsidR="00562660" w:rsidRPr="005A6D22">
        <w:rPr>
          <w:rFonts w:cs="Arial Narrow"/>
        </w:rPr>
        <w:t xml:space="preserve">Christine Ando - mail : </w:t>
      </w:r>
      <w:hyperlink r:id="rId13" w:history="1">
        <w:r w:rsidR="00562660" w:rsidRPr="005A6D22">
          <w:rPr>
            <w:rStyle w:val="Lienhypertexte"/>
          </w:rPr>
          <w:t>christine.ando@safecluster.com</w:t>
        </w:r>
      </w:hyperlink>
    </w:p>
    <w:p w14:paraId="5E528489" w14:textId="77777777" w:rsidR="000A500B" w:rsidRDefault="000A500B" w:rsidP="005A6D22">
      <w:pPr>
        <w:jc w:val="both"/>
        <w:rPr>
          <w:rFonts w:cs="Arial Narrow"/>
        </w:rPr>
      </w:pPr>
    </w:p>
    <w:p w14:paraId="1637C2F7" w14:textId="77777777" w:rsidR="00562660" w:rsidRPr="005A6D22" w:rsidRDefault="00562660" w:rsidP="005A6D22">
      <w:pPr>
        <w:jc w:val="both"/>
        <w:rPr>
          <w:rFonts w:cs="Arial Narrow"/>
        </w:rPr>
      </w:pPr>
      <w:r w:rsidRPr="005A6D22">
        <w:rPr>
          <w:rFonts w:cs="Arial Narrow"/>
        </w:rPr>
        <w:t>Le temps passé par l’agence sur la réponse à l’appel d’offre ne sera pas rémunéré par SAFE Cluster.</w:t>
      </w:r>
    </w:p>
    <w:p w14:paraId="1EB35FCD" w14:textId="77777777" w:rsidR="000A500B" w:rsidRDefault="000A500B" w:rsidP="005A6D22">
      <w:pPr>
        <w:jc w:val="both"/>
        <w:rPr>
          <w:rFonts w:cs="Arial Narrow"/>
        </w:rPr>
      </w:pPr>
    </w:p>
    <w:p w14:paraId="743F2F41" w14:textId="77777777" w:rsidR="00562660" w:rsidRPr="005A6D22" w:rsidRDefault="00562660" w:rsidP="005A6D22">
      <w:pPr>
        <w:jc w:val="both"/>
        <w:rPr>
          <w:rFonts w:cs="Arial Narrow"/>
        </w:rPr>
      </w:pPr>
      <w:r w:rsidRPr="005A6D22">
        <w:rPr>
          <w:rFonts w:cs="Arial Narrow"/>
        </w:rPr>
        <w:t>Le pôle s’engage à payer le fournisseur dans les 30 jours suivant la réception de la facture et sous réserve du service fait.</w:t>
      </w:r>
    </w:p>
    <w:p w14:paraId="3845264A" w14:textId="77777777" w:rsidR="00562660" w:rsidRPr="005A6D22" w:rsidRDefault="00562660" w:rsidP="005A6D22">
      <w:pPr>
        <w:jc w:val="both"/>
      </w:pPr>
    </w:p>
    <w:p w14:paraId="51E19A34" w14:textId="77777777" w:rsidR="00ED79F5" w:rsidRPr="005A6D22" w:rsidRDefault="00ED79F5" w:rsidP="005A6D22">
      <w:pPr>
        <w:jc w:val="both"/>
      </w:pPr>
    </w:p>
    <w:p w14:paraId="690A19A4" w14:textId="77777777" w:rsidR="00ED79F5" w:rsidRPr="005A6D22" w:rsidRDefault="00ED79F5" w:rsidP="00ED79F5">
      <w:pPr>
        <w:jc w:val="both"/>
        <w:rPr>
          <w:b/>
        </w:rPr>
      </w:pPr>
      <w:r w:rsidRPr="005A6D22">
        <w:rPr>
          <w:b/>
        </w:rPr>
        <w:t>Facturation</w:t>
      </w:r>
    </w:p>
    <w:p w14:paraId="4386AAA7" w14:textId="77777777" w:rsidR="00ED79F5" w:rsidRPr="005A6D22" w:rsidRDefault="00ED79F5" w:rsidP="00ED79F5">
      <w:pPr>
        <w:jc w:val="both"/>
        <w:rPr>
          <w:rFonts w:cs="Arial Narrow"/>
        </w:rPr>
      </w:pPr>
      <w:r w:rsidRPr="005A6D22">
        <w:rPr>
          <w:rFonts w:cs="Arial Narrow"/>
        </w:rPr>
        <w:t>SAFE Cluster</w:t>
      </w:r>
    </w:p>
    <w:p w14:paraId="204DAF19" w14:textId="77777777" w:rsidR="00ED79F5" w:rsidRPr="005A6D22" w:rsidRDefault="00ED79F5" w:rsidP="00ED79F5">
      <w:pPr>
        <w:jc w:val="both"/>
        <w:rPr>
          <w:rFonts w:cs="Arial Narrow"/>
        </w:rPr>
      </w:pPr>
      <w:r w:rsidRPr="005A6D22">
        <w:rPr>
          <w:rFonts w:cs="Arial Narrow"/>
        </w:rPr>
        <w:t>Domaine du Petit Arbois</w:t>
      </w:r>
    </w:p>
    <w:p w14:paraId="5F43112C" w14:textId="77777777" w:rsidR="00ED79F5" w:rsidRPr="005A6D22" w:rsidRDefault="00ED79F5" w:rsidP="00ED79F5">
      <w:pPr>
        <w:jc w:val="both"/>
        <w:rPr>
          <w:rFonts w:cs="Arial Narrow"/>
        </w:rPr>
      </w:pPr>
      <w:r w:rsidRPr="005A6D22">
        <w:rPr>
          <w:rFonts w:cs="Arial Narrow"/>
        </w:rPr>
        <w:t>BP 10028</w:t>
      </w:r>
    </w:p>
    <w:p w14:paraId="2AF69C94" w14:textId="77777777" w:rsidR="00ED79F5" w:rsidRPr="005A6D22" w:rsidRDefault="00ED79F5" w:rsidP="00ED79F5">
      <w:pPr>
        <w:jc w:val="both"/>
        <w:rPr>
          <w:rFonts w:cs="Arial Narrow"/>
        </w:rPr>
      </w:pPr>
      <w:r w:rsidRPr="005A6D22">
        <w:rPr>
          <w:rFonts w:cs="Arial Narrow"/>
        </w:rPr>
        <w:t>13545 Aix en Provence cedex 4</w:t>
      </w:r>
    </w:p>
    <w:p w14:paraId="4FDAA65F" w14:textId="77777777" w:rsidR="00562660" w:rsidRPr="005A6D22" w:rsidRDefault="00562660" w:rsidP="005A6D22">
      <w:pPr>
        <w:jc w:val="both"/>
      </w:pPr>
    </w:p>
    <w:p w14:paraId="216D35C1" w14:textId="77777777" w:rsidR="00562660" w:rsidRPr="005A6D22" w:rsidRDefault="00562660" w:rsidP="00ED79F5">
      <w:pPr>
        <w:pStyle w:val="Titre1"/>
      </w:pPr>
      <w:bookmarkStart w:id="14" w:name="_Toc455669016"/>
      <w:r w:rsidRPr="005A6D22">
        <w:t>Documents obligatoires</w:t>
      </w:r>
      <w:bookmarkEnd w:id="14"/>
      <w:r w:rsidRPr="005A6D22">
        <w:t xml:space="preserve"> </w:t>
      </w:r>
    </w:p>
    <w:p w14:paraId="435F54EB" w14:textId="77777777" w:rsidR="00FB35BB" w:rsidRDefault="00FB35BB" w:rsidP="005A6D22">
      <w:pPr>
        <w:jc w:val="both"/>
      </w:pPr>
    </w:p>
    <w:p w14:paraId="75B3F604" w14:textId="77777777" w:rsidR="00562660" w:rsidRPr="005A6D22" w:rsidRDefault="00562660" w:rsidP="005A6D22">
      <w:pPr>
        <w:jc w:val="both"/>
      </w:pPr>
      <w:r w:rsidRPr="005A6D22">
        <w:t xml:space="preserve">Le </w:t>
      </w:r>
      <w:r w:rsidRPr="00326B28">
        <w:rPr>
          <w:b/>
        </w:rPr>
        <w:t>candidat retenu</w:t>
      </w:r>
      <w:r w:rsidRPr="005A6D22">
        <w:t xml:space="preserve"> devra obligatoirement fournir les documents suivants afin de valider officiellement la commande de la prestation : </w:t>
      </w:r>
    </w:p>
    <w:p w14:paraId="13F1ED8B" w14:textId="77777777" w:rsidR="00562660" w:rsidRPr="005A6D22" w:rsidRDefault="00562660" w:rsidP="00785501">
      <w:pPr>
        <w:pStyle w:val="Paragraphedeliste"/>
        <w:numPr>
          <w:ilvl w:val="0"/>
          <w:numId w:val="4"/>
        </w:numPr>
        <w:jc w:val="both"/>
      </w:pPr>
      <w:r w:rsidRPr="005A6D22">
        <w:t>Copie de la police d’assurance de responsabilité civile</w:t>
      </w:r>
    </w:p>
    <w:p w14:paraId="4332AB2A" w14:textId="77777777" w:rsidR="00562660" w:rsidRPr="005A6D22" w:rsidRDefault="00562660" w:rsidP="00785501">
      <w:pPr>
        <w:pStyle w:val="Paragraphedeliste"/>
        <w:numPr>
          <w:ilvl w:val="0"/>
          <w:numId w:val="4"/>
        </w:numPr>
        <w:jc w:val="both"/>
      </w:pPr>
      <w:r w:rsidRPr="005A6D22">
        <w:t>Copie de l’attestation de fourniture des déclarations sociales et de paiement des cotisations et contributions de sécurité sociale</w:t>
      </w:r>
    </w:p>
    <w:p w14:paraId="09DD308B" w14:textId="77777777" w:rsidR="00562660" w:rsidRPr="005A6D22" w:rsidRDefault="00562660" w:rsidP="00785501">
      <w:pPr>
        <w:pStyle w:val="Paragraphedeliste"/>
        <w:numPr>
          <w:ilvl w:val="0"/>
          <w:numId w:val="4"/>
        </w:numPr>
        <w:jc w:val="both"/>
      </w:pPr>
      <w:r w:rsidRPr="005A6D22">
        <w:t>Copie du ou des jugements</w:t>
      </w:r>
    </w:p>
    <w:p w14:paraId="154CEE51" w14:textId="77777777" w:rsidR="00FB35BB" w:rsidRDefault="00FB35BB" w:rsidP="005A6D22">
      <w:pPr>
        <w:jc w:val="both"/>
      </w:pPr>
    </w:p>
    <w:p w14:paraId="059C0683" w14:textId="77777777" w:rsidR="00562660" w:rsidRPr="005A6D22" w:rsidRDefault="00562660" w:rsidP="005A6D22">
      <w:pPr>
        <w:jc w:val="both"/>
      </w:pPr>
      <w:proofErr w:type="gramStart"/>
      <w:r w:rsidRPr="005A6D22">
        <w:t>La</w:t>
      </w:r>
      <w:proofErr w:type="gramEnd"/>
      <w:r w:rsidRPr="005A6D22">
        <w:t xml:space="preserve"> non fourniture de ces documents pourra entraîner l’annulation de la candidature. </w:t>
      </w:r>
    </w:p>
    <w:p w14:paraId="4DB2840A" w14:textId="77777777" w:rsidR="00562660" w:rsidRPr="005A6D22" w:rsidRDefault="00562660" w:rsidP="005A6D22">
      <w:pPr>
        <w:jc w:val="both"/>
      </w:pPr>
    </w:p>
    <w:p w14:paraId="5480532A" w14:textId="77777777" w:rsidR="00562660" w:rsidRPr="005A6D22" w:rsidRDefault="00562660" w:rsidP="00ED79F5">
      <w:pPr>
        <w:pStyle w:val="Titre1"/>
      </w:pPr>
      <w:bookmarkStart w:id="15" w:name="_Toc455669017"/>
      <w:r w:rsidRPr="005A6D22">
        <w:t>Règlement des litiges</w:t>
      </w:r>
      <w:bookmarkEnd w:id="15"/>
    </w:p>
    <w:p w14:paraId="3B499DC1" w14:textId="77777777" w:rsidR="00FB35BB" w:rsidRDefault="00FB35BB" w:rsidP="005A6D22">
      <w:pPr>
        <w:jc w:val="both"/>
      </w:pPr>
    </w:p>
    <w:p w14:paraId="5A0362CD" w14:textId="77777777" w:rsidR="00562660" w:rsidRDefault="00562660" w:rsidP="005A6D22">
      <w:pPr>
        <w:jc w:val="both"/>
      </w:pPr>
      <w:r w:rsidRPr="005A6D22">
        <w:t>Dans le cas où un accord ne pourrait intervenir après une tentative de règlement à l’amiable, le litige relèverait de la compétence exclusive du tribunal de commerce d’Aix en Provence.</w:t>
      </w:r>
    </w:p>
    <w:p w14:paraId="71A456F0" w14:textId="1FEE483E" w:rsidR="0098321F" w:rsidRDefault="0098321F"/>
    <w:sectPr w:rsidR="0098321F" w:rsidSect="000A500B">
      <w:footerReference w:type="default" r:id="rId14"/>
      <w:headerReference w:type="first" r:id="rId15"/>
      <w:pgSz w:w="11906" w:h="16838" w:code="9"/>
      <w:pgMar w:top="1418" w:right="1134" w:bottom="1418"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656B89" w15:done="0"/>
  <w15:commentEx w15:paraId="06DB17C7" w15:done="0"/>
  <w15:commentEx w15:paraId="1E2BD8D4" w15:done="0"/>
  <w15:commentEx w15:paraId="4E0CA024" w15:done="0"/>
  <w15:commentEx w15:paraId="556851F4" w15:done="0"/>
  <w15:commentEx w15:paraId="0400F83B" w15:done="0"/>
  <w15:commentEx w15:paraId="1E1CE56B" w15:done="0"/>
  <w15:commentEx w15:paraId="559A034D" w15:done="0"/>
  <w15:commentEx w15:paraId="107D7B1D" w15:done="0"/>
  <w15:commentEx w15:paraId="38E8CEB8" w15:done="0"/>
  <w15:commentEx w15:paraId="564F31BF" w15:done="0"/>
  <w15:commentEx w15:paraId="37346279" w15:done="0"/>
  <w15:commentEx w15:paraId="6FB29FFC" w15:done="0"/>
  <w15:commentEx w15:paraId="32B07332" w15:done="0"/>
  <w15:commentEx w15:paraId="36400754" w15:done="0"/>
  <w15:commentEx w15:paraId="4CE4EC35" w15:done="0"/>
  <w15:commentEx w15:paraId="05469E8D" w15:done="0"/>
  <w15:commentEx w15:paraId="013D2CEA" w15:done="0"/>
  <w15:commentEx w15:paraId="22F0CE7F" w15:done="0"/>
  <w15:commentEx w15:paraId="0B2EAE8A" w15:done="0"/>
  <w15:commentEx w15:paraId="18EA9F4B" w15:done="0"/>
  <w15:commentEx w15:paraId="0D44405A" w15:done="0"/>
  <w15:commentEx w15:paraId="7BEDB016" w15:done="0"/>
  <w15:commentEx w15:paraId="68892826" w15:done="0"/>
  <w15:commentEx w15:paraId="70D62E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5E8CA" w14:textId="77777777" w:rsidR="00B76D97" w:rsidRDefault="00B76D97" w:rsidP="006D1017">
      <w:r>
        <w:separator/>
      </w:r>
    </w:p>
  </w:endnote>
  <w:endnote w:type="continuationSeparator" w:id="0">
    <w:p w14:paraId="600480E9" w14:textId="77777777" w:rsidR="00B76D97" w:rsidRDefault="00B76D97" w:rsidP="006D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Schoolbook">
    <w:altName w:val="Arial"/>
    <w:charset w:val="00"/>
    <w:family w:val="swiss"/>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charset w:val="00"/>
    <w:family w:val="swiss"/>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2AFEE" w14:textId="35F3D3F3" w:rsidR="000A500B" w:rsidRDefault="000A500B">
    <w:pPr>
      <w:pStyle w:val="Pieddepage"/>
    </w:pPr>
    <w:r>
      <w:tab/>
    </w:r>
    <w:r>
      <w:tab/>
    </w:r>
    <w:r>
      <w:fldChar w:fldCharType="begin"/>
    </w:r>
    <w:r>
      <w:instrText>PAGE   \* MERGEFORMAT</w:instrText>
    </w:r>
    <w:r>
      <w:fldChar w:fldCharType="separate"/>
    </w:r>
    <w:r w:rsidR="00840647">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4B03F" w14:textId="77777777" w:rsidR="00B76D97" w:rsidRDefault="00B76D97" w:rsidP="006D1017">
      <w:r>
        <w:separator/>
      </w:r>
    </w:p>
  </w:footnote>
  <w:footnote w:type="continuationSeparator" w:id="0">
    <w:p w14:paraId="14BC7149" w14:textId="77777777" w:rsidR="00B76D97" w:rsidRDefault="00B76D97" w:rsidP="006D1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D4FA3" w14:textId="4B8FA1F8" w:rsidR="000A500B" w:rsidRDefault="000A500B">
    <w:pPr>
      <w:pStyle w:val="En-tte"/>
    </w:pPr>
    <w:r>
      <w:rPr>
        <w:rFonts w:ascii="Arial Narrow" w:hAnsi="Arial Narrow" w:cs="Arial Narrow"/>
        <w:bCs/>
        <w:noProof/>
        <w:color w:val="000080"/>
        <w:sz w:val="44"/>
        <w:szCs w:val="44"/>
        <w:lang w:eastAsia="fr-FR"/>
      </w:rPr>
      <w:drawing>
        <wp:inline distT="0" distB="0" distL="0" distR="0" wp14:anchorId="604584E7" wp14:editId="66087BA4">
          <wp:extent cx="5760720" cy="1043002"/>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43002"/>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464"/>
        </w:tabs>
        <w:ind w:left="464" w:hanging="180"/>
      </w:p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B053DB"/>
    <w:multiLevelType w:val="multilevel"/>
    <w:tmpl w:val="F5B4BC1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0713E7"/>
    <w:multiLevelType w:val="multilevel"/>
    <w:tmpl w:val="F5B4BC1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51C0E91"/>
    <w:multiLevelType w:val="hybridMultilevel"/>
    <w:tmpl w:val="14FA1654"/>
    <w:lvl w:ilvl="0" w:tplc="B8701E1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304101"/>
    <w:multiLevelType w:val="hybridMultilevel"/>
    <w:tmpl w:val="1CEA886A"/>
    <w:lvl w:ilvl="0" w:tplc="B8701E1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671DF9"/>
    <w:multiLevelType w:val="hybridMultilevel"/>
    <w:tmpl w:val="D020E72C"/>
    <w:lvl w:ilvl="0" w:tplc="5A4A3FD6">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F73FBA"/>
    <w:multiLevelType w:val="multilevel"/>
    <w:tmpl w:val="1C88EAAC"/>
    <w:lvl w:ilvl="0">
      <w:numFmt w:val="bullet"/>
      <w:lvlText w:val="-"/>
      <w:lvlJc w:val="left"/>
      <w:pPr>
        <w:tabs>
          <w:tab w:val="num" w:pos="720"/>
        </w:tabs>
        <w:ind w:left="720" w:hanging="360"/>
      </w:pPr>
      <w:rPr>
        <w:rFonts w:ascii="Calibri" w:eastAsiaTheme="minorHAnsi" w:hAnsi="Calibri" w:cstheme="minorBidi"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2277A2"/>
    <w:multiLevelType w:val="hybridMultilevel"/>
    <w:tmpl w:val="8D28C68A"/>
    <w:lvl w:ilvl="0" w:tplc="B8701E1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F005FDF"/>
    <w:multiLevelType w:val="multilevel"/>
    <w:tmpl w:val="1C88EAAC"/>
    <w:lvl w:ilvl="0">
      <w:numFmt w:val="bullet"/>
      <w:lvlText w:val="-"/>
      <w:lvlJc w:val="left"/>
      <w:pPr>
        <w:tabs>
          <w:tab w:val="num" w:pos="720"/>
        </w:tabs>
        <w:ind w:left="720" w:hanging="360"/>
      </w:pPr>
      <w:rPr>
        <w:rFonts w:ascii="Calibri" w:eastAsiaTheme="minorHAnsi" w:hAnsi="Calibri" w:cstheme="minorBidi"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2994ABD"/>
    <w:multiLevelType w:val="multilevel"/>
    <w:tmpl w:val="1C88EAAC"/>
    <w:lvl w:ilvl="0">
      <w:numFmt w:val="bullet"/>
      <w:lvlText w:val="-"/>
      <w:lvlJc w:val="left"/>
      <w:pPr>
        <w:tabs>
          <w:tab w:val="num" w:pos="720"/>
        </w:tabs>
        <w:ind w:left="720" w:hanging="360"/>
      </w:pPr>
      <w:rPr>
        <w:rFonts w:ascii="Calibri" w:eastAsiaTheme="minorHAnsi" w:hAnsi="Calibri" w:cstheme="minorBidi"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4BD74F3"/>
    <w:multiLevelType w:val="multilevel"/>
    <w:tmpl w:val="1C88EAAC"/>
    <w:lvl w:ilvl="0">
      <w:numFmt w:val="bullet"/>
      <w:lvlText w:val="-"/>
      <w:lvlJc w:val="left"/>
      <w:pPr>
        <w:tabs>
          <w:tab w:val="num" w:pos="720"/>
        </w:tabs>
        <w:ind w:left="720" w:hanging="360"/>
      </w:pPr>
      <w:rPr>
        <w:rFonts w:ascii="Calibri" w:eastAsiaTheme="minorHAnsi" w:hAnsi="Calibri" w:cstheme="minorBidi"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81F4B03"/>
    <w:multiLevelType w:val="multilevel"/>
    <w:tmpl w:val="1C88EAAC"/>
    <w:lvl w:ilvl="0">
      <w:numFmt w:val="bullet"/>
      <w:lvlText w:val="-"/>
      <w:lvlJc w:val="left"/>
      <w:pPr>
        <w:tabs>
          <w:tab w:val="num" w:pos="720"/>
        </w:tabs>
        <w:ind w:left="720" w:hanging="360"/>
      </w:pPr>
      <w:rPr>
        <w:rFonts w:ascii="Calibri" w:eastAsiaTheme="minorHAnsi" w:hAnsi="Calibri" w:cstheme="minorBidi"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0781026"/>
    <w:multiLevelType w:val="multilevel"/>
    <w:tmpl w:val="F5B4BC1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7107F1D"/>
    <w:multiLevelType w:val="multilevel"/>
    <w:tmpl w:val="F5B4BC1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E4D6C6C"/>
    <w:multiLevelType w:val="hybridMultilevel"/>
    <w:tmpl w:val="7820E152"/>
    <w:lvl w:ilvl="0" w:tplc="B8701E1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F0475F5"/>
    <w:multiLevelType w:val="hybridMultilevel"/>
    <w:tmpl w:val="1632D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602CB3"/>
    <w:multiLevelType w:val="multilevel"/>
    <w:tmpl w:val="1C88EAAC"/>
    <w:lvl w:ilvl="0">
      <w:numFmt w:val="bullet"/>
      <w:lvlText w:val="-"/>
      <w:lvlJc w:val="left"/>
      <w:pPr>
        <w:tabs>
          <w:tab w:val="num" w:pos="720"/>
        </w:tabs>
        <w:ind w:left="720" w:hanging="360"/>
      </w:pPr>
      <w:rPr>
        <w:rFonts w:ascii="Calibri" w:eastAsiaTheme="minorHAnsi" w:hAnsi="Calibri" w:cstheme="minorBidi"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6002754"/>
    <w:multiLevelType w:val="multilevel"/>
    <w:tmpl w:val="1C88EAAC"/>
    <w:lvl w:ilvl="0">
      <w:numFmt w:val="bullet"/>
      <w:lvlText w:val="-"/>
      <w:lvlJc w:val="left"/>
      <w:pPr>
        <w:tabs>
          <w:tab w:val="num" w:pos="720"/>
        </w:tabs>
        <w:ind w:left="720" w:hanging="360"/>
      </w:pPr>
      <w:rPr>
        <w:rFonts w:ascii="Calibri" w:eastAsiaTheme="minorHAnsi" w:hAnsi="Calibri" w:cstheme="minorBidi" w:hint="default"/>
      </w:rPr>
    </w:lvl>
    <w:lvl w:ilvl="1">
      <w:start w:val="1"/>
      <w:numFmt w:val="decimal"/>
      <w:lvlText w:val="%2."/>
      <w:lvlJc w:val="left"/>
      <w:pPr>
        <w:tabs>
          <w:tab w:val="num" w:pos="720"/>
        </w:tabs>
        <w:ind w:left="720" w:hanging="360"/>
      </w:pPr>
    </w:lvl>
    <w:lvl w:ilvl="2">
      <w:numFmt w:val="bullet"/>
      <w:lvlText w:val="-"/>
      <w:lvlJc w:val="left"/>
      <w:pPr>
        <w:tabs>
          <w:tab w:val="num" w:pos="464"/>
        </w:tabs>
        <w:ind w:left="464" w:hanging="180"/>
      </w:pPr>
      <w:rPr>
        <w:rFonts w:ascii="Calibri" w:eastAsiaTheme="minorHAnsi" w:hAnsi="Calibri" w:cstheme="minorBidi" w:hint="default"/>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0"/>
        </w:tabs>
        <w:ind w:left="4500" w:hanging="360"/>
      </w:pPr>
      <w:rPr>
        <w:rFonts w:ascii="Arial Narrow" w:hAnsi="Arial Narrow" w:cs="Century-Schoolbook"/>
        <w:b/>
        <w:color w:val="000080"/>
        <w:sz w:val="24"/>
      </w:rPr>
    </w:lvl>
    <w:lvl w:ilvl="6">
      <w:start w:val="1"/>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7636893"/>
    <w:multiLevelType w:val="hybridMultilevel"/>
    <w:tmpl w:val="D376D5B4"/>
    <w:lvl w:ilvl="0" w:tplc="90B62ECC">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9"/>
  </w:num>
  <w:num w:numId="5">
    <w:abstractNumId w:val="11"/>
  </w:num>
  <w:num w:numId="6">
    <w:abstractNumId w:val="8"/>
  </w:num>
  <w:num w:numId="7">
    <w:abstractNumId w:val="16"/>
  </w:num>
  <w:num w:numId="8">
    <w:abstractNumId w:val="6"/>
  </w:num>
  <w:num w:numId="9">
    <w:abstractNumId w:val="13"/>
  </w:num>
  <w:num w:numId="10">
    <w:abstractNumId w:val="1"/>
  </w:num>
  <w:num w:numId="11">
    <w:abstractNumId w:val="12"/>
  </w:num>
  <w:num w:numId="12">
    <w:abstractNumId w:val="4"/>
  </w:num>
  <w:num w:numId="13">
    <w:abstractNumId w:val="2"/>
  </w:num>
  <w:num w:numId="14">
    <w:abstractNumId w:val="7"/>
  </w:num>
  <w:num w:numId="15">
    <w:abstractNumId w:val="15"/>
  </w:num>
  <w:num w:numId="16">
    <w:abstractNumId w:val="3"/>
  </w:num>
  <w:num w:numId="17">
    <w:abstractNumId w:val="14"/>
  </w:num>
  <w:num w:numId="18">
    <w:abstractNumId w:val="1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RAPIN">
    <w15:presenceInfo w15:providerId="None" w15:userId="Marie RAPIN"/>
  </w15:person>
  <w15:person w15:author="KIRMAN, Sarah">
    <w15:presenceInfo w15:providerId="AD" w15:userId="S-1-5-21-1353018575-1636624024-1924984068-1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D9"/>
    <w:rsid w:val="000271FC"/>
    <w:rsid w:val="00040A75"/>
    <w:rsid w:val="000518F5"/>
    <w:rsid w:val="00086BAA"/>
    <w:rsid w:val="000A500B"/>
    <w:rsid w:val="000B1198"/>
    <w:rsid w:val="000E1272"/>
    <w:rsid w:val="00100E7A"/>
    <w:rsid w:val="001334DB"/>
    <w:rsid w:val="001E2B3E"/>
    <w:rsid w:val="00234B1F"/>
    <w:rsid w:val="00263BFF"/>
    <w:rsid w:val="002967B4"/>
    <w:rsid w:val="002C4F57"/>
    <w:rsid w:val="002E7475"/>
    <w:rsid w:val="002F5388"/>
    <w:rsid w:val="00311843"/>
    <w:rsid w:val="00326B28"/>
    <w:rsid w:val="00327F46"/>
    <w:rsid w:val="00390B09"/>
    <w:rsid w:val="003B66BD"/>
    <w:rsid w:val="003D7DCE"/>
    <w:rsid w:val="00442481"/>
    <w:rsid w:val="00451CA3"/>
    <w:rsid w:val="004921BC"/>
    <w:rsid w:val="004F3EE1"/>
    <w:rsid w:val="00501F2A"/>
    <w:rsid w:val="00556CCB"/>
    <w:rsid w:val="00562660"/>
    <w:rsid w:val="00592DDC"/>
    <w:rsid w:val="005A6D22"/>
    <w:rsid w:val="005B00E3"/>
    <w:rsid w:val="005C10CB"/>
    <w:rsid w:val="006020C0"/>
    <w:rsid w:val="006A2782"/>
    <w:rsid w:val="006B6398"/>
    <w:rsid w:val="006C1A24"/>
    <w:rsid w:val="006D1017"/>
    <w:rsid w:val="006D28D9"/>
    <w:rsid w:val="00747AD9"/>
    <w:rsid w:val="00783663"/>
    <w:rsid w:val="00785501"/>
    <w:rsid w:val="007D58F8"/>
    <w:rsid w:val="00840647"/>
    <w:rsid w:val="008557A1"/>
    <w:rsid w:val="00894B3E"/>
    <w:rsid w:val="008B2C16"/>
    <w:rsid w:val="00906945"/>
    <w:rsid w:val="00971B8A"/>
    <w:rsid w:val="0098321F"/>
    <w:rsid w:val="009974D4"/>
    <w:rsid w:val="009C2D71"/>
    <w:rsid w:val="009D5E08"/>
    <w:rsid w:val="009E42F9"/>
    <w:rsid w:val="00A04248"/>
    <w:rsid w:val="00A171F5"/>
    <w:rsid w:val="00A660D6"/>
    <w:rsid w:val="00A82D70"/>
    <w:rsid w:val="00A9106C"/>
    <w:rsid w:val="00AA42F2"/>
    <w:rsid w:val="00AB1FAA"/>
    <w:rsid w:val="00AF3A61"/>
    <w:rsid w:val="00B5324F"/>
    <w:rsid w:val="00B74688"/>
    <w:rsid w:val="00B76D97"/>
    <w:rsid w:val="00B8053C"/>
    <w:rsid w:val="00BA4957"/>
    <w:rsid w:val="00BE1D1D"/>
    <w:rsid w:val="00C27658"/>
    <w:rsid w:val="00CA2F26"/>
    <w:rsid w:val="00D21ABC"/>
    <w:rsid w:val="00D27C81"/>
    <w:rsid w:val="00D37744"/>
    <w:rsid w:val="00D47A58"/>
    <w:rsid w:val="00D70804"/>
    <w:rsid w:val="00D76B99"/>
    <w:rsid w:val="00D91258"/>
    <w:rsid w:val="00D91828"/>
    <w:rsid w:val="00D93C77"/>
    <w:rsid w:val="00DA68D4"/>
    <w:rsid w:val="00DD29CE"/>
    <w:rsid w:val="00DF2479"/>
    <w:rsid w:val="00E04FF6"/>
    <w:rsid w:val="00E35B23"/>
    <w:rsid w:val="00E75680"/>
    <w:rsid w:val="00EA5DD8"/>
    <w:rsid w:val="00ED79F5"/>
    <w:rsid w:val="00EF07B5"/>
    <w:rsid w:val="00F204DE"/>
    <w:rsid w:val="00F41EF2"/>
    <w:rsid w:val="00F47C4D"/>
    <w:rsid w:val="00F52FD3"/>
    <w:rsid w:val="00F944D5"/>
    <w:rsid w:val="00FB35BB"/>
    <w:rsid w:val="00FC10D6"/>
    <w:rsid w:val="00FC76CE"/>
    <w:rsid w:val="00FD61DC"/>
    <w:rsid w:val="00FE25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82"/>
  </w:style>
  <w:style w:type="paragraph" w:styleId="Titre1">
    <w:name w:val="heading 1"/>
    <w:basedOn w:val="Normal"/>
    <w:next w:val="Normal"/>
    <w:link w:val="Titre1Car"/>
    <w:uiPriority w:val="9"/>
    <w:qFormat/>
    <w:rsid w:val="00451C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B00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B00E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B00E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1CA3"/>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747A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47AD9"/>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5B00E3"/>
    <w:pPr>
      <w:autoSpaceDE w:val="0"/>
      <w:autoSpaceDN w:val="0"/>
      <w:adjustRightInd w:val="0"/>
    </w:pPr>
    <w:rPr>
      <w:rFonts w:ascii="Calibri" w:hAnsi="Calibri" w:cs="Calibri"/>
      <w:color w:val="000000"/>
      <w:sz w:val="24"/>
      <w:szCs w:val="24"/>
    </w:rPr>
  </w:style>
  <w:style w:type="character" w:customStyle="1" w:styleId="Titre2Car">
    <w:name w:val="Titre 2 Car"/>
    <w:basedOn w:val="Policepardfaut"/>
    <w:link w:val="Titre2"/>
    <w:uiPriority w:val="9"/>
    <w:rsid w:val="005B00E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B00E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B00E3"/>
    <w:rPr>
      <w:rFonts w:asciiTheme="majorHAnsi" w:eastAsiaTheme="majorEastAsia" w:hAnsiTheme="majorHAnsi" w:cstheme="majorBidi"/>
      <w:b/>
      <w:bCs/>
      <w:i/>
      <w:iCs/>
      <w:color w:val="4F81BD" w:themeColor="accent1"/>
    </w:rPr>
  </w:style>
  <w:style w:type="paragraph" w:styleId="Notedefin">
    <w:name w:val="endnote text"/>
    <w:basedOn w:val="Normal"/>
    <w:link w:val="NotedefinCar"/>
    <w:uiPriority w:val="99"/>
    <w:semiHidden/>
    <w:unhideWhenUsed/>
    <w:rsid w:val="006D1017"/>
    <w:rPr>
      <w:sz w:val="20"/>
      <w:szCs w:val="20"/>
    </w:rPr>
  </w:style>
  <w:style w:type="character" w:customStyle="1" w:styleId="NotedefinCar">
    <w:name w:val="Note de fin Car"/>
    <w:basedOn w:val="Policepardfaut"/>
    <w:link w:val="Notedefin"/>
    <w:uiPriority w:val="99"/>
    <w:semiHidden/>
    <w:rsid w:val="006D1017"/>
    <w:rPr>
      <w:sz w:val="20"/>
      <w:szCs w:val="20"/>
    </w:rPr>
  </w:style>
  <w:style w:type="character" w:styleId="Appeldenotedefin">
    <w:name w:val="endnote reference"/>
    <w:basedOn w:val="Policepardfaut"/>
    <w:uiPriority w:val="99"/>
    <w:semiHidden/>
    <w:unhideWhenUsed/>
    <w:rsid w:val="006D1017"/>
    <w:rPr>
      <w:vertAlign w:val="superscript"/>
    </w:rPr>
  </w:style>
  <w:style w:type="paragraph" w:styleId="Notedebasdepage">
    <w:name w:val="footnote text"/>
    <w:basedOn w:val="Normal"/>
    <w:link w:val="NotedebasdepageCar"/>
    <w:uiPriority w:val="99"/>
    <w:semiHidden/>
    <w:unhideWhenUsed/>
    <w:rsid w:val="006D1017"/>
    <w:rPr>
      <w:sz w:val="20"/>
      <w:szCs w:val="20"/>
    </w:rPr>
  </w:style>
  <w:style w:type="character" w:customStyle="1" w:styleId="NotedebasdepageCar">
    <w:name w:val="Note de bas de page Car"/>
    <w:basedOn w:val="Policepardfaut"/>
    <w:link w:val="Notedebasdepage"/>
    <w:uiPriority w:val="99"/>
    <w:semiHidden/>
    <w:rsid w:val="006D1017"/>
    <w:rPr>
      <w:sz w:val="20"/>
      <w:szCs w:val="20"/>
    </w:rPr>
  </w:style>
  <w:style w:type="character" w:styleId="Appelnotedebasdep">
    <w:name w:val="footnote reference"/>
    <w:basedOn w:val="Policepardfaut"/>
    <w:uiPriority w:val="99"/>
    <w:semiHidden/>
    <w:unhideWhenUsed/>
    <w:rsid w:val="006D1017"/>
    <w:rPr>
      <w:vertAlign w:val="superscript"/>
    </w:rPr>
  </w:style>
  <w:style w:type="paragraph" w:styleId="Paragraphedeliste">
    <w:name w:val="List Paragraph"/>
    <w:basedOn w:val="Normal"/>
    <w:uiPriority w:val="34"/>
    <w:qFormat/>
    <w:rsid w:val="00451CA3"/>
    <w:pPr>
      <w:ind w:left="720"/>
      <w:contextualSpacing/>
    </w:pPr>
  </w:style>
  <w:style w:type="paragraph" w:styleId="Citationintense">
    <w:name w:val="Intense Quote"/>
    <w:basedOn w:val="Normal"/>
    <w:next w:val="Normal"/>
    <w:link w:val="CitationintenseCar"/>
    <w:uiPriority w:val="30"/>
    <w:qFormat/>
    <w:rsid w:val="00971B8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71B8A"/>
    <w:rPr>
      <w:b/>
      <w:bCs/>
      <w:i/>
      <w:iCs/>
      <w:color w:val="4F81BD" w:themeColor="accent1"/>
    </w:rPr>
  </w:style>
  <w:style w:type="paragraph" w:styleId="En-ttedetabledesmatires">
    <w:name w:val="TOC Heading"/>
    <w:basedOn w:val="Titre1"/>
    <w:next w:val="Normal"/>
    <w:uiPriority w:val="39"/>
    <w:unhideWhenUsed/>
    <w:qFormat/>
    <w:rsid w:val="00971B8A"/>
    <w:pPr>
      <w:numPr>
        <w:numId w:val="0"/>
      </w:numPr>
      <w:spacing w:line="276" w:lineRule="auto"/>
      <w:outlineLvl w:val="9"/>
    </w:pPr>
  </w:style>
  <w:style w:type="paragraph" w:styleId="TM1">
    <w:name w:val="toc 1"/>
    <w:basedOn w:val="Normal"/>
    <w:next w:val="Normal"/>
    <w:autoRedefine/>
    <w:uiPriority w:val="39"/>
    <w:unhideWhenUsed/>
    <w:qFormat/>
    <w:rsid w:val="00971B8A"/>
    <w:pPr>
      <w:spacing w:after="100"/>
    </w:pPr>
  </w:style>
  <w:style w:type="paragraph" w:styleId="TM2">
    <w:name w:val="toc 2"/>
    <w:basedOn w:val="Normal"/>
    <w:next w:val="Normal"/>
    <w:autoRedefine/>
    <w:uiPriority w:val="39"/>
    <w:unhideWhenUsed/>
    <w:qFormat/>
    <w:rsid w:val="00971B8A"/>
    <w:pPr>
      <w:spacing w:after="100"/>
      <w:ind w:left="220"/>
    </w:pPr>
  </w:style>
  <w:style w:type="paragraph" w:styleId="TM3">
    <w:name w:val="toc 3"/>
    <w:basedOn w:val="Normal"/>
    <w:next w:val="Normal"/>
    <w:autoRedefine/>
    <w:uiPriority w:val="39"/>
    <w:unhideWhenUsed/>
    <w:qFormat/>
    <w:rsid w:val="00971B8A"/>
    <w:pPr>
      <w:spacing w:after="100"/>
      <w:ind w:left="440"/>
    </w:pPr>
  </w:style>
  <w:style w:type="character" w:styleId="Lienhypertexte">
    <w:name w:val="Hyperlink"/>
    <w:basedOn w:val="Policepardfaut"/>
    <w:uiPriority w:val="99"/>
    <w:unhideWhenUsed/>
    <w:rsid w:val="00971B8A"/>
    <w:rPr>
      <w:color w:val="0000FF" w:themeColor="hyperlink"/>
      <w:u w:val="single"/>
    </w:rPr>
  </w:style>
  <w:style w:type="paragraph" w:styleId="Textedebulles">
    <w:name w:val="Balloon Text"/>
    <w:basedOn w:val="Normal"/>
    <w:link w:val="TextedebullesCar"/>
    <w:uiPriority w:val="99"/>
    <w:semiHidden/>
    <w:unhideWhenUsed/>
    <w:rsid w:val="00971B8A"/>
    <w:rPr>
      <w:rFonts w:ascii="Tahoma" w:hAnsi="Tahoma" w:cs="Tahoma"/>
      <w:sz w:val="16"/>
      <w:szCs w:val="16"/>
    </w:rPr>
  </w:style>
  <w:style w:type="character" w:customStyle="1" w:styleId="TextedebullesCar">
    <w:name w:val="Texte de bulles Car"/>
    <w:basedOn w:val="Policepardfaut"/>
    <w:link w:val="Textedebulles"/>
    <w:uiPriority w:val="99"/>
    <w:semiHidden/>
    <w:rsid w:val="00971B8A"/>
    <w:rPr>
      <w:rFonts w:ascii="Tahoma" w:hAnsi="Tahoma" w:cs="Tahoma"/>
      <w:sz w:val="16"/>
      <w:szCs w:val="16"/>
    </w:rPr>
  </w:style>
  <w:style w:type="paragraph" w:customStyle="1" w:styleId="Normal1">
    <w:name w:val="Normal1"/>
    <w:rsid w:val="00100E7A"/>
    <w:pPr>
      <w:widowControl w:val="0"/>
      <w:suppressAutoHyphens/>
      <w:autoSpaceDE w:val="0"/>
    </w:pPr>
    <w:rPr>
      <w:rFonts w:ascii="Century-Schoolbook" w:eastAsia="Times New Roman" w:hAnsi="Century-Schoolbook" w:cs="Century-Schoolbook"/>
      <w:color w:val="000000"/>
      <w:sz w:val="24"/>
      <w:szCs w:val="24"/>
      <w:lang w:eastAsia="zh-CN"/>
    </w:rPr>
  </w:style>
  <w:style w:type="character" w:styleId="Accentuation">
    <w:name w:val="Emphasis"/>
    <w:qFormat/>
    <w:rsid w:val="00100E7A"/>
    <w:rPr>
      <w:rFonts w:cs="Times New Roman"/>
      <w:i/>
      <w:iCs/>
    </w:rPr>
  </w:style>
  <w:style w:type="character" w:styleId="Marquedecommentaire">
    <w:name w:val="annotation reference"/>
    <w:basedOn w:val="Policepardfaut"/>
    <w:uiPriority w:val="99"/>
    <w:semiHidden/>
    <w:unhideWhenUsed/>
    <w:rsid w:val="00B74688"/>
    <w:rPr>
      <w:sz w:val="16"/>
      <w:szCs w:val="16"/>
    </w:rPr>
  </w:style>
  <w:style w:type="paragraph" w:styleId="Commentaire">
    <w:name w:val="annotation text"/>
    <w:basedOn w:val="Normal"/>
    <w:link w:val="CommentaireCar"/>
    <w:uiPriority w:val="99"/>
    <w:semiHidden/>
    <w:unhideWhenUsed/>
    <w:rsid w:val="00B74688"/>
    <w:rPr>
      <w:sz w:val="20"/>
      <w:szCs w:val="20"/>
    </w:rPr>
  </w:style>
  <w:style w:type="character" w:customStyle="1" w:styleId="CommentaireCar">
    <w:name w:val="Commentaire Car"/>
    <w:basedOn w:val="Policepardfaut"/>
    <w:link w:val="Commentaire"/>
    <w:uiPriority w:val="99"/>
    <w:semiHidden/>
    <w:rsid w:val="00B74688"/>
    <w:rPr>
      <w:sz w:val="20"/>
      <w:szCs w:val="20"/>
    </w:rPr>
  </w:style>
  <w:style w:type="paragraph" w:styleId="Objetducommentaire">
    <w:name w:val="annotation subject"/>
    <w:basedOn w:val="Commentaire"/>
    <w:next w:val="Commentaire"/>
    <w:link w:val="ObjetducommentaireCar"/>
    <w:uiPriority w:val="99"/>
    <w:semiHidden/>
    <w:unhideWhenUsed/>
    <w:rsid w:val="00B74688"/>
    <w:rPr>
      <w:b/>
      <w:bCs/>
    </w:rPr>
  </w:style>
  <w:style w:type="character" w:customStyle="1" w:styleId="ObjetducommentaireCar">
    <w:name w:val="Objet du commentaire Car"/>
    <w:basedOn w:val="CommentaireCar"/>
    <w:link w:val="Objetducommentaire"/>
    <w:uiPriority w:val="99"/>
    <w:semiHidden/>
    <w:rsid w:val="00B74688"/>
    <w:rPr>
      <w:b/>
      <w:bCs/>
      <w:sz w:val="20"/>
      <w:szCs w:val="20"/>
    </w:rPr>
  </w:style>
  <w:style w:type="paragraph" w:customStyle="1" w:styleId="P">
    <w:name w:val="P"/>
    <w:basedOn w:val="Normal"/>
    <w:rsid w:val="00AB1FAA"/>
    <w:pPr>
      <w:suppressAutoHyphens/>
      <w:ind w:left="568" w:right="567"/>
      <w:jc w:val="both"/>
    </w:pPr>
    <w:rPr>
      <w:rFonts w:ascii="AvantGarde" w:eastAsia="Times New Roman" w:hAnsi="AvantGarde" w:cs="AvantGarde"/>
      <w:sz w:val="20"/>
      <w:szCs w:val="20"/>
      <w:lang w:eastAsia="zh-CN"/>
    </w:rPr>
  </w:style>
  <w:style w:type="character" w:customStyle="1" w:styleId="apple-style-span">
    <w:name w:val="apple-style-span"/>
    <w:basedOn w:val="Policepardfaut"/>
    <w:rsid w:val="00AB1FAA"/>
  </w:style>
  <w:style w:type="table" w:styleId="Grilledutableau">
    <w:name w:val="Table Grid"/>
    <w:basedOn w:val="TableauNormal"/>
    <w:rsid w:val="00562660"/>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A500B"/>
    <w:pPr>
      <w:tabs>
        <w:tab w:val="center" w:pos="4536"/>
        <w:tab w:val="right" w:pos="9072"/>
      </w:tabs>
    </w:pPr>
  </w:style>
  <w:style w:type="character" w:customStyle="1" w:styleId="En-tteCar">
    <w:name w:val="En-tête Car"/>
    <w:basedOn w:val="Policepardfaut"/>
    <w:link w:val="En-tte"/>
    <w:uiPriority w:val="99"/>
    <w:rsid w:val="000A500B"/>
  </w:style>
  <w:style w:type="paragraph" w:styleId="Pieddepage">
    <w:name w:val="footer"/>
    <w:basedOn w:val="Normal"/>
    <w:link w:val="PieddepageCar"/>
    <w:uiPriority w:val="99"/>
    <w:unhideWhenUsed/>
    <w:rsid w:val="000A500B"/>
    <w:pPr>
      <w:tabs>
        <w:tab w:val="center" w:pos="4536"/>
        <w:tab w:val="right" w:pos="9072"/>
      </w:tabs>
    </w:pPr>
  </w:style>
  <w:style w:type="character" w:customStyle="1" w:styleId="PieddepageCar">
    <w:name w:val="Pied de page Car"/>
    <w:basedOn w:val="Policepardfaut"/>
    <w:link w:val="Pieddepage"/>
    <w:uiPriority w:val="99"/>
    <w:rsid w:val="000A5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82"/>
  </w:style>
  <w:style w:type="paragraph" w:styleId="Titre1">
    <w:name w:val="heading 1"/>
    <w:basedOn w:val="Normal"/>
    <w:next w:val="Normal"/>
    <w:link w:val="Titre1Car"/>
    <w:uiPriority w:val="9"/>
    <w:qFormat/>
    <w:rsid w:val="00451C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B00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B00E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B00E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1CA3"/>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747A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47AD9"/>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5B00E3"/>
    <w:pPr>
      <w:autoSpaceDE w:val="0"/>
      <w:autoSpaceDN w:val="0"/>
      <w:adjustRightInd w:val="0"/>
    </w:pPr>
    <w:rPr>
      <w:rFonts w:ascii="Calibri" w:hAnsi="Calibri" w:cs="Calibri"/>
      <w:color w:val="000000"/>
      <w:sz w:val="24"/>
      <w:szCs w:val="24"/>
    </w:rPr>
  </w:style>
  <w:style w:type="character" w:customStyle="1" w:styleId="Titre2Car">
    <w:name w:val="Titre 2 Car"/>
    <w:basedOn w:val="Policepardfaut"/>
    <w:link w:val="Titre2"/>
    <w:uiPriority w:val="9"/>
    <w:rsid w:val="005B00E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B00E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B00E3"/>
    <w:rPr>
      <w:rFonts w:asciiTheme="majorHAnsi" w:eastAsiaTheme="majorEastAsia" w:hAnsiTheme="majorHAnsi" w:cstheme="majorBidi"/>
      <w:b/>
      <w:bCs/>
      <w:i/>
      <w:iCs/>
      <w:color w:val="4F81BD" w:themeColor="accent1"/>
    </w:rPr>
  </w:style>
  <w:style w:type="paragraph" w:styleId="Notedefin">
    <w:name w:val="endnote text"/>
    <w:basedOn w:val="Normal"/>
    <w:link w:val="NotedefinCar"/>
    <w:uiPriority w:val="99"/>
    <w:semiHidden/>
    <w:unhideWhenUsed/>
    <w:rsid w:val="006D1017"/>
    <w:rPr>
      <w:sz w:val="20"/>
      <w:szCs w:val="20"/>
    </w:rPr>
  </w:style>
  <w:style w:type="character" w:customStyle="1" w:styleId="NotedefinCar">
    <w:name w:val="Note de fin Car"/>
    <w:basedOn w:val="Policepardfaut"/>
    <w:link w:val="Notedefin"/>
    <w:uiPriority w:val="99"/>
    <w:semiHidden/>
    <w:rsid w:val="006D1017"/>
    <w:rPr>
      <w:sz w:val="20"/>
      <w:szCs w:val="20"/>
    </w:rPr>
  </w:style>
  <w:style w:type="character" w:styleId="Appeldenotedefin">
    <w:name w:val="endnote reference"/>
    <w:basedOn w:val="Policepardfaut"/>
    <w:uiPriority w:val="99"/>
    <w:semiHidden/>
    <w:unhideWhenUsed/>
    <w:rsid w:val="006D1017"/>
    <w:rPr>
      <w:vertAlign w:val="superscript"/>
    </w:rPr>
  </w:style>
  <w:style w:type="paragraph" w:styleId="Notedebasdepage">
    <w:name w:val="footnote text"/>
    <w:basedOn w:val="Normal"/>
    <w:link w:val="NotedebasdepageCar"/>
    <w:uiPriority w:val="99"/>
    <w:semiHidden/>
    <w:unhideWhenUsed/>
    <w:rsid w:val="006D1017"/>
    <w:rPr>
      <w:sz w:val="20"/>
      <w:szCs w:val="20"/>
    </w:rPr>
  </w:style>
  <w:style w:type="character" w:customStyle="1" w:styleId="NotedebasdepageCar">
    <w:name w:val="Note de bas de page Car"/>
    <w:basedOn w:val="Policepardfaut"/>
    <w:link w:val="Notedebasdepage"/>
    <w:uiPriority w:val="99"/>
    <w:semiHidden/>
    <w:rsid w:val="006D1017"/>
    <w:rPr>
      <w:sz w:val="20"/>
      <w:szCs w:val="20"/>
    </w:rPr>
  </w:style>
  <w:style w:type="character" w:styleId="Appelnotedebasdep">
    <w:name w:val="footnote reference"/>
    <w:basedOn w:val="Policepardfaut"/>
    <w:uiPriority w:val="99"/>
    <w:semiHidden/>
    <w:unhideWhenUsed/>
    <w:rsid w:val="006D1017"/>
    <w:rPr>
      <w:vertAlign w:val="superscript"/>
    </w:rPr>
  </w:style>
  <w:style w:type="paragraph" w:styleId="Paragraphedeliste">
    <w:name w:val="List Paragraph"/>
    <w:basedOn w:val="Normal"/>
    <w:uiPriority w:val="34"/>
    <w:qFormat/>
    <w:rsid w:val="00451CA3"/>
    <w:pPr>
      <w:ind w:left="720"/>
      <w:contextualSpacing/>
    </w:pPr>
  </w:style>
  <w:style w:type="paragraph" w:styleId="Citationintense">
    <w:name w:val="Intense Quote"/>
    <w:basedOn w:val="Normal"/>
    <w:next w:val="Normal"/>
    <w:link w:val="CitationintenseCar"/>
    <w:uiPriority w:val="30"/>
    <w:qFormat/>
    <w:rsid w:val="00971B8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71B8A"/>
    <w:rPr>
      <w:b/>
      <w:bCs/>
      <w:i/>
      <w:iCs/>
      <w:color w:val="4F81BD" w:themeColor="accent1"/>
    </w:rPr>
  </w:style>
  <w:style w:type="paragraph" w:styleId="En-ttedetabledesmatires">
    <w:name w:val="TOC Heading"/>
    <w:basedOn w:val="Titre1"/>
    <w:next w:val="Normal"/>
    <w:uiPriority w:val="39"/>
    <w:unhideWhenUsed/>
    <w:qFormat/>
    <w:rsid w:val="00971B8A"/>
    <w:pPr>
      <w:numPr>
        <w:numId w:val="0"/>
      </w:numPr>
      <w:spacing w:line="276" w:lineRule="auto"/>
      <w:outlineLvl w:val="9"/>
    </w:pPr>
  </w:style>
  <w:style w:type="paragraph" w:styleId="TM1">
    <w:name w:val="toc 1"/>
    <w:basedOn w:val="Normal"/>
    <w:next w:val="Normal"/>
    <w:autoRedefine/>
    <w:uiPriority w:val="39"/>
    <w:unhideWhenUsed/>
    <w:qFormat/>
    <w:rsid w:val="00971B8A"/>
    <w:pPr>
      <w:spacing w:after="100"/>
    </w:pPr>
  </w:style>
  <w:style w:type="paragraph" w:styleId="TM2">
    <w:name w:val="toc 2"/>
    <w:basedOn w:val="Normal"/>
    <w:next w:val="Normal"/>
    <w:autoRedefine/>
    <w:uiPriority w:val="39"/>
    <w:unhideWhenUsed/>
    <w:qFormat/>
    <w:rsid w:val="00971B8A"/>
    <w:pPr>
      <w:spacing w:after="100"/>
      <w:ind w:left="220"/>
    </w:pPr>
  </w:style>
  <w:style w:type="paragraph" w:styleId="TM3">
    <w:name w:val="toc 3"/>
    <w:basedOn w:val="Normal"/>
    <w:next w:val="Normal"/>
    <w:autoRedefine/>
    <w:uiPriority w:val="39"/>
    <w:unhideWhenUsed/>
    <w:qFormat/>
    <w:rsid w:val="00971B8A"/>
    <w:pPr>
      <w:spacing w:after="100"/>
      <w:ind w:left="440"/>
    </w:pPr>
  </w:style>
  <w:style w:type="character" w:styleId="Lienhypertexte">
    <w:name w:val="Hyperlink"/>
    <w:basedOn w:val="Policepardfaut"/>
    <w:uiPriority w:val="99"/>
    <w:unhideWhenUsed/>
    <w:rsid w:val="00971B8A"/>
    <w:rPr>
      <w:color w:val="0000FF" w:themeColor="hyperlink"/>
      <w:u w:val="single"/>
    </w:rPr>
  </w:style>
  <w:style w:type="paragraph" w:styleId="Textedebulles">
    <w:name w:val="Balloon Text"/>
    <w:basedOn w:val="Normal"/>
    <w:link w:val="TextedebullesCar"/>
    <w:uiPriority w:val="99"/>
    <w:semiHidden/>
    <w:unhideWhenUsed/>
    <w:rsid w:val="00971B8A"/>
    <w:rPr>
      <w:rFonts w:ascii="Tahoma" w:hAnsi="Tahoma" w:cs="Tahoma"/>
      <w:sz w:val="16"/>
      <w:szCs w:val="16"/>
    </w:rPr>
  </w:style>
  <w:style w:type="character" w:customStyle="1" w:styleId="TextedebullesCar">
    <w:name w:val="Texte de bulles Car"/>
    <w:basedOn w:val="Policepardfaut"/>
    <w:link w:val="Textedebulles"/>
    <w:uiPriority w:val="99"/>
    <w:semiHidden/>
    <w:rsid w:val="00971B8A"/>
    <w:rPr>
      <w:rFonts w:ascii="Tahoma" w:hAnsi="Tahoma" w:cs="Tahoma"/>
      <w:sz w:val="16"/>
      <w:szCs w:val="16"/>
    </w:rPr>
  </w:style>
  <w:style w:type="paragraph" w:customStyle="1" w:styleId="Normal1">
    <w:name w:val="Normal1"/>
    <w:rsid w:val="00100E7A"/>
    <w:pPr>
      <w:widowControl w:val="0"/>
      <w:suppressAutoHyphens/>
      <w:autoSpaceDE w:val="0"/>
    </w:pPr>
    <w:rPr>
      <w:rFonts w:ascii="Century-Schoolbook" w:eastAsia="Times New Roman" w:hAnsi="Century-Schoolbook" w:cs="Century-Schoolbook"/>
      <w:color w:val="000000"/>
      <w:sz w:val="24"/>
      <w:szCs w:val="24"/>
      <w:lang w:eastAsia="zh-CN"/>
    </w:rPr>
  </w:style>
  <w:style w:type="character" w:styleId="Accentuation">
    <w:name w:val="Emphasis"/>
    <w:qFormat/>
    <w:rsid w:val="00100E7A"/>
    <w:rPr>
      <w:rFonts w:cs="Times New Roman"/>
      <w:i/>
      <w:iCs/>
    </w:rPr>
  </w:style>
  <w:style w:type="character" w:styleId="Marquedecommentaire">
    <w:name w:val="annotation reference"/>
    <w:basedOn w:val="Policepardfaut"/>
    <w:uiPriority w:val="99"/>
    <w:semiHidden/>
    <w:unhideWhenUsed/>
    <w:rsid w:val="00B74688"/>
    <w:rPr>
      <w:sz w:val="16"/>
      <w:szCs w:val="16"/>
    </w:rPr>
  </w:style>
  <w:style w:type="paragraph" w:styleId="Commentaire">
    <w:name w:val="annotation text"/>
    <w:basedOn w:val="Normal"/>
    <w:link w:val="CommentaireCar"/>
    <w:uiPriority w:val="99"/>
    <w:semiHidden/>
    <w:unhideWhenUsed/>
    <w:rsid w:val="00B74688"/>
    <w:rPr>
      <w:sz w:val="20"/>
      <w:szCs w:val="20"/>
    </w:rPr>
  </w:style>
  <w:style w:type="character" w:customStyle="1" w:styleId="CommentaireCar">
    <w:name w:val="Commentaire Car"/>
    <w:basedOn w:val="Policepardfaut"/>
    <w:link w:val="Commentaire"/>
    <w:uiPriority w:val="99"/>
    <w:semiHidden/>
    <w:rsid w:val="00B74688"/>
    <w:rPr>
      <w:sz w:val="20"/>
      <w:szCs w:val="20"/>
    </w:rPr>
  </w:style>
  <w:style w:type="paragraph" w:styleId="Objetducommentaire">
    <w:name w:val="annotation subject"/>
    <w:basedOn w:val="Commentaire"/>
    <w:next w:val="Commentaire"/>
    <w:link w:val="ObjetducommentaireCar"/>
    <w:uiPriority w:val="99"/>
    <w:semiHidden/>
    <w:unhideWhenUsed/>
    <w:rsid w:val="00B74688"/>
    <w:rPr>
      <w:b/>
      <w:bCs/>
    </w:rPr>
  </w:style>
  <w:style w:type="character" w:customStyle="1" w:styleId="ObjetducommentaireCar">
    <w:name w:val="Objet du commentaire Car"/>
    <w:basedOn w:val="CommentaireCar"/>
    <w:link w:val="Objetducommentaire"/>
    <w:uiPriority w:val="99"/>
    <w:semiHidden/>
    <w:rsid w:val="00B74688"/>
    <w:rPr>
      <w:b/>
      <w:bCs/>
      <w:sz w:val="20"/>
      <w:szCs w:val="20"/>
    </w:rPr>
  </w:style>
  <w:style w:type="paragraph" w:customStyle="1" w:styleId="P">
    <w:name w:val="P"/>
    <w:basedOn w:val="Normal"/>
    <w:rsid w:val="00AB1FAA"/>
    <w:pPr>
      <w:suppressAutoHyphens/>
      <w:ind w:left="568" w:right="567"/>
      <w:jc w:val="both"/>
    </w:pPr>
    <w:rPr>
      <w:rFonts w:ascii="AvantGarde" w:eastAsia="Times New Roman" w:hAnsi="AvantGarde" w:cs="AvantGarde"/>
      <w:sz w:val="20"/>
      <w:szCs w:val="20"/>
      <w:lang w:eastAsia="zh-CN"/>
    </w:rPr>
  </w:style>
  <w:style w:type="character" w:customStyle="1" w:styleId="apple-style-span">
    <w:name w:val="apple-style-span"/>
    <w:basedOn w:val="Policepardfaut"/>
    <w:rsid w:val="00AB1FAA"/>
  </w:style>
  <w:style w:type="table" w:styleId="Grilledutableau">
    <w:name w:val="Table Grid"/>
    <w:basedOn w:val="TableauNormal"/>
    <w:rsid w:val="00562660"/>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A500B"/>
    <w:pPr>
      <w:tabs>
        <w:tab w:val="center" w:pos="4536"/>
        <w:tab w:val="right" w:pos="9072"/>
      </w:tabs>
    </w:pPr>
  </w:style>
  <w:style w:type="character" w:customStyle="1" w:styleId="En-tteCar">
    <w:name w:val="En-tête Car"/>
    <w:basedOn w:val="Policepardfaut"/>
    <w:link w:val="En-tte"/>
    <w:uiPriority w:val="99"/>
    <w:rsid w:val="000A500B"/>
  </w:style>
  <w:style w:type="paragraph" w:styleId="Pieddepage">
    <w:name w:val="footer"/>
    <w:basedOn w:val="Normal"/>
    <w:link w:val="PieddepageCar"/>
    <w:uiPriority w:val="99"/>
    <w:unhideWhenUsed/>
    <w:rsid w:val="000A500B"/>
    <w:pPr>
      <w:tabs>
        <w:tab w:val="center" w:pos="4536"/>
        <w:tab w:val="right" w:pos="9072"/>
      </w:tabs>
    </w:pPr>
  </w:style>
  <w:style w:type="character" w:customStyle="1" w:styleId="PieddepageCar">
    <w:name w:val="Pied de page Car"/>
    <w:basedOn w:val="Policepardfaut"/>
    <w:link w:val="Pieddepage"/>
    <w:uiPriority w:val="99"/>
    <w:rsid w:val="000A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9539">
      <w:bodyDiv w:val="1"/>
      <w:marLeft w:val="0"/>
      <w:marRight w:val="0"/>
      <w:marTop w:val="0"/>
      <w:marBottom w:val="0"/>
      <w:divBdr>
        <w:top w:val="none" w:sz="0" w:space="0" w:color="auto"/>
        <w:left w:val="none" w:sz="0" w:space="0" w:color="auto"/>
        <w:bottom w:val="none" w:sz="0" w:space="0" w:color="auto"/>
        <w:right w:val="none" w:sz="0" w:space="0" w:color="auto"/>
      </w:divBdr>
    </w:div>
    <w:div w:id="93211370">
      <w:bodyDiv w:val="1"/>
      <w:marLeft w:val="0"/>
      <w:marRight w:val="0"/>
      <w:marTop w:val="0"/>
      <w:marBottom w:val="0"/>
      <w:divBdr>
        <w:top w:val="none" w:sz="0" w:space="0" w:color="auto"/>
        <w:left w:val="none" w:sz="0" w:space="0" w:color="auto"/>
        <w:bottom w:val="none" w:sz="0" w:space="0" w:color="auto"/>
        <w:right w:val="none" w:sz="0" w:space="0" w:color="auto"/>
      </w:divBdr>
    </w:div>
    <w:div w:id="216089835">
      <w:bodyDiv w:val="1"/>
      <w:marLeft w:val="0"/>
      <w:marRight w:val="0"/>
      <w:marTop w:val="0"/>
      <w:marBottom w:val="0"/>
      <w:divBdr>
        <w:top w:val="none" w:sz="0" w:space="0" w:color="auto"/>
        <w:left w:val="none" w:sz="0" w:space="0" w:color="auto"/>
        <w:bottom w:val="none" w:sz="0" w:space="0" w:color="auto"/>
        <w:right w:val="none" w:sz="0" w:space="0" w:color="auto"/>
      </w:divBdr>
      <w:divsChild>
        <w:div w:id="901718222">
          <w:marLeft w:val="0"/>
          <w:marRight w:val="0"/>
          <w:marTop w:val="0"/>
          <w:marBottom w:val="0"/>
          <w:divBdr>
            <w:top w:val="none" w:sz="0" w:space="0" w:color="auto"/>
            <w:left w:val="none" w:sz="0" w:space="0" w:color="auto"/>
            <w:bottom w:val="none" w:sz="0" w:space="0" w:color="auto"/>
            <w:right w:val="none" w:sz="0" w:space="0" w:color="auto"/>
          </w:divBdr>
          <w:divsChild>
            <w:div w:id="1523935894">
              <w:marLeft w:val="0"/>
              <w:marRight w:val="0"/>
              <w:marTop w:val="0"/>
              <w:marBottom w:val="0"/>
              <w:divBdr>
                <w:top w:val="none" w:sz="0" w:space="0" w:color="auto"/>
                <w:left w:val="none" w:sz="0" w:space="0" w:color="auto"/>
                <w:bottom w:val="none" w:sz="0" w:space="0" w:color="auto"/>
                <w:right w:val="none" w:sz="0" w:space="0" w:color="auto"/>
              </w:divBdr>
              <w:divsChild>
                <w:div w:id="478494306">
                  <w:marLeft w:val="0"/>
                  <w:marRight w:val="0"/>
                  <w:marTop w:val="0"/>
                  <w:marBottom w:val="0"/>
                  <w:divBdr>
                    <w:top w:val="none" w:sz="0" w:space="0" w:color="auto"/>
                    <w:left w:val="none" w:sz="0" w:space="0" w:color="auto"/>
                    <w:bottom w:val="none" w:sz="0" w:space="0" w:color="auto"/>
                    <w:right w:val="none" w:sz="0" w:space="0" w:color="auto"/>
                  </w:divBdr>
                  <w:divsChild>
                    <w:div w:id="1090391322">
                      <w:marLeft w:val="0"/>
                      <w:marRight w:val="0"/>
                      <w:marTop w:val="0"/>
                      <w:marBottom w:val="300"/>
                      <w:divBdr>
                        <w:top w:val="none" w:sz="0" w:space="0" w:color="auto"/>
                        <w:left w:val="none" w:sz="0" w:space="0" w:color="auto"/>
                        <w:bottom w:val="none" w:sz="0" w:space="0" w:color="auto"/>
                        <w:right w:val="none" w:sz="0" w:space="0" w:color="auto"/>
                      </w:divBdr>
                      <w:divsChild>
                        <w:div w:id="328171510">
                          <w:marLeft w:val="0"/>
                          <w:marRight w:val="0"/>
                          <w:marTop w:val="0"/>
                          <w:marBottom w:val="0"/>
                          <w:divBdr>
                            <w:top w:val="none" w:sz="0" w:space="0" w:color="auto"/>
                            <w:left w:val="none" w:sz="0" w:space="0" w:color="auto"/>
                            <w:bottom w:val="none" w:sz="0" w:space="0" w:color="auto"/>
                            <w:right w:val="none" w:sz="0" w:space="0" w:color="auto"/>
                          </w:divBdr>
                          <w:divsChild>
                            <w:div w:id="1386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090704">
      <w:bodyDiv w:val="1"/>
      <w:marLeft w:val="0"/>
      <w:marRight w:val="0"/>
      <w:marTop w:val="0"/>
      <w:marBottom w:val="0"/>
      <w:divBdr>
        <w:top w:val="none" w:sz="0" w:space="0" w:color="auto"/>
        <w:left w:val="none" w:sz="0" w:space="0" w:color="auto"/>
        <w:bottom w:val="none" w:sz="0" w:space="0" w:color="auto"/>
        <w:right w:val="none" w:sz="0" w:space="0" w:color="auto"/>
      </w:divBdr>
      <w:divsChild>
        <w:div w:id="1339499629">
          <w:marLeft w:val="418"/>
          <w:marRight w:val="0"/>
          <w:marTop w:val="0"/>
          <w:marBottom w:val="60"/>
          <w:divBdr>
            <w:top w:val="none" w:sz="0" w:space="0" w:color="auto"/>
            <w:left w:val="none" w:sz="0" w:space="0" w:color="auto"/>
            <w:bottom w:val="none" w:sz="0" w:space="0" w:color="auto"/>
            <w:right w:val="none" w:sz="0" w:space="0" w:color="auto"/>
          </w:divBdr>
        </w:div>
        <w:div w:id="2100589780">
          <w:marLeft w:val="418"/>
          <w:marRight w:val="0"/>
          <w:marTop w:val="0"/>
          <w:marBottom w:val="60"/>
          <w:divBdr>
            <w:top w:val="none" w:sz="0" w:space="0" w:color="auto"/>
            <w:left w:val="none" w:sz="0" w:space="0" w:color="auto"/>
            <w:bottom w:val="none" w:sz="0" w:space="0" w:color="auto"/>
            <w:right w:val="none" w:sz="0" w:space="0" w:color="auto"/>
          </w:divBdr>
        </w:div>
        <w:div w:id="1021858260">
          <w:marLeft w:val="418"/>
          <w:marRight w:val="0"/>
          <w:marTop w:val="0"/>
          <w:marBottom w:val="60"/>
          <w:divBdr>
            <w:top w:val="none" w:sz="0" w:space="0" w:color="auto"/>
            <w:left w:val="none" w:sz="0" w:space="0" w:color="auto"/>
            <w:bottom w:val="none" w:sz="0" w:space="0" w:color="auto"/>
            <w:right w:val="none" w:sz="0" w:space="0" w:color="auto"/>
          </w:divBdr>
        </w:div>
        <w:div w:id="887187870">
          <w:marLeft w:val="418"/>
          <w:marRight w:val="0"/>
          <w:marTop w:val="0"/>
          <w:marBottom w:val="60"/>
          <w:divBdr>
            <w:top w:val="none" w:sz="0" w:space="0" w:color="auto"/>
            <w:left w:val="none" w:sz="0" w:space="0" w:color="auto"/>
            <w:bottom w:val="none" w:sz="0" w:space="0" w:color="auto"/>
            <w:right w:val="none" w:sz="0" w:space="0" w:color="auto"/>
          </w:divBdr>
        </w:div>
        <w:div w:id="579019871">
          <w:marLeft w:val="418"/>
          <w:marRight w:val="0"/>
          <w:marTop w:val="0"/>
          <w:marBottom w:val="60"/>
          <w:divBdr>
            <w:top w:val="none" w:sz="0" w:space="0" w:color="auto"/>
            <w:left w:val="none" w:sz="0" w:space="0" w:color="auto"/>
            <w:bottom w:val="none" w:sz="0" w:space="0" w:color="auto"/>
            <w:right w:val="none" w:sz="0" w:space="0" w:color="auto"/>
          </w:divBdr>
        </w:div>
        <w:div w:id="763574993">
          <w:marLeft w:val="418"/>
          <w:marRight w:val="0"/>
          <w:marTop w:val="0"/>
          <w:marBottom w:val="60"/>
          <w:divBdr>
            <w:top w:val="none" w:sz="0" w:space="0" w:color="auto"/>
            <w:left w:val="none" w:sz="0" w:space="0" w:color="auto"/>
            <w:bottom w:val="none" w:sz="0" w:space="0" w:color="auto"/>
            <w:right w:val="none" w:sz="0" w:space="0" w:color="auto"/>
          </w:divBdr>
        </w:div>
      </w:divsChild>
    </w:div>
    <w:div w:id="315307311">
      <w:bodyDiv w:val="1"/>
      <w:marLeft w:val="0"/>
      <w:marRight w:val="0"/>
      <w:marTop w:val="0"/>
      <w:marBottom w:val="0"/>
      <w:divBdr>
        <w:top w:val="none" w:sz="0" w:space="0" w:color="auto"/>
        <w:left w:val="none" w:sz="0" w:space="0" w:color="auto"/>
        <w:bottom w:val="none" w:sz="0" w:space="0" w:color="auto"/>
        <w:right w:val="none" w:sz="0" w:space="0" w:color="auto"/>
      </w:divBdr>
    </w:div>
    <w:div w:id="350835285">
      <w:bodyDiv w:val="1"/>
      <w:marLeft w:val="0"/>
      <w:marRight w:val="0"/>
      <w:marTop w:val="0"/>
      <w:marBottom w:val="0"/>
      <w:divBdr>
        <w:top w:val="none" w:sz="0" w:space="0" w:color="auto"/>
        <w:left w:val="none" w:sz="0" w:space="0" w:color="auto"/>
        <w:bottom w:val="none" w:sz="0" w:space="0" w:color="auto"/>
        <w:right w:val="none" w:sz="0" w:space="0" w:color="auto"/>
      </w:divBdr>
      <w:divsChild>
        <w:div w:id="853689573">
          <w:marLeft w:val="0"/>
          <w:marRight w:val="0"/>
          <w:marTop w:val="0"/>
          <w:marBottom w:val="0"/>
          <w:divBdr>
            <w:top w:val="none" w:sz="0" w:space="0" w:color="auto"/>
            <w:left w:val="none" w:sz="0" w:space="0" w:color="auto"/>
            <w:bottom w:val="none" w:sz="0" w:space="0" w:color="auto"/>
            <w:right w:val="none" w:sz="0" w:space="0" w:color="auto"/>
          </w:divBdr>
          <w:divsChild>
            <w:div w:id="1437169884">
              <w:marLeft w:val="0"/>
              <w:marRight w:val="0"/>
              <w:marTop w:val="0"/>
              <w:marBottom w:val="0"/>
              <w:divBdr>
                <w:top w:val="none" w:sz="0" w:space="0" w:color="auto"/>
                <w:left w:val="none" w:sz="0" w:space="0" w:color="auto"/>
                <w:bottom w:val="none" w:sz="0" w:space="0" w:color="auto"/>
                <w:right w:val="none" w:sz="0" w:space="0" w:color="auto"/>
              </w:divBdr>
              <w:divsChild>
                <w:div w:id="1244530000">
                  <w:marLeft w:val="0"/>
                  <w:marRight w:val="0"/>
                  <w:marTop w:val="0"/>
                  <w:marBottom w:val="0"/>
                  <w:divBdr>
                    <w:top w:val="none" w:sz="0" w:space="0" w:color="auto"/>
                    <w:left w:val="none" w:sz="0" w:space="0" w:color="auto"/>
                    <w:bottom w:val="none" w:sz="0" w:space="0" w:color="auto"/>
                    <w:right w:val="none" w:sz="0" w:space="0" w:color="auto"/>
                  </w:divBdr>
                  <w:divsChild>
                    <w:div w:id="71782354">
                      <w:marLeft w:val="0"/>
                      <w:marRight w:val="0"/>
                      <w:marTop w:val="0"/>
                      <w:marBottom w:val="300"/>
                      <w:divBdr>
                        <w:top w:val="none" w:sz="0" w:space="0" w:color="auto"/>
                        <w:left w:val="none" w:sz="0" w:space="0" w:color="auto"/>
                        <w:bottom w:val="none" w:sz="0" w:space="0" w:color="auto"/>
                        <w:right w:val="none" w:sz="0" w:space="0" w:color="auto"/>
                      </w:divBdr>
                      <w:divsChild>
                        <w:div w:id="1302462834">
                          <w:marLeft w:val="0"/>
                          <w:marRight w:val="0"/>
                          <w:marTop w:val="0"/>
                          <w:marBottom w:val="0"/>
                          <w:divBdr>
                            <w:top w:val="none" w:sz="0" w:space="0" w:color="auto"/>
                            <w:left w:val="none" w:sz="0" w:space="0" w:color="auto"/>
                            <w:bottom w:val="none" w:sz="0" w:space="0" w:color="auto"/>
                            <w:right w:val="none" w:sz="0" w:space="0" w:color="auto"/>
                          </w:divBdr>
                          <w:divsChild>
                            <w:div w:id="8989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44872">
      <w:bodyDiv w:val="1"/>
      <w:marLeft w:val="0"/>
      <w:marRight w:val="0"/>
      <w:marTop w:val="0"/>
      <w:marBottom w:val="0"/>
      <w:divBdr>
        <w:top w:val="none" w:sz="0" w:space="0" w:color="auto"/>
        <w:left w:val="none" w:sz="0" w:space="0" w:color="auto"/>
        <w:bottom w:val="none" w:sz="0" w:space="0" w:color="auto"/>
        <w:right w:val="none" w:sz="0" w:space="0" w:color="auto"/>
      </w:divBdr>
    </w:div>
    <w:div w:id="811557584">
      <w:bodyDiv w:val="1"/>
      <w:marLeft w:val="0"/>
      <w:marRight w:val="0"/>
      <w:marTop w:val="0"/>
      <w:marBottom w:val="0"/>
      <w:divBdr>
        <w:top w:val="none" w:sz="0" w:space="0" w:color="auto"/>
        <w:left w:val="none" w:sz="0" w:space="0" w:color="auto"/>
        <w:bottom w:val="none" w:sz="0" w:space="0" w:color="auto"/>
        <w:right w:val="none" w:sz="0" w:space="0" w:color="auto"/>
      </w:divBdr>
    </w:div>
    <w:div w:id="946935220">
      <w:bodyDiv w:val="1"/>
      <w:marLeft w:val="0"/>
      <w:marRight w:val="0"/>
      <w:marTop w:val="0"/>
      <w:marBottom w:val="0"/>
      <w:divBdr>
        <w:top w:val="none" w:sz="0" w:space="0" w:color="auto"/>
        <w:left w:val="none" w:sz="0" w:space="0" w:color="auto"/>
        <w:bottom w:val="none" w:sz="0" w:space="0" w:color="auto"/>
        <w:right w:val="none" w:sz="0" w:space="0" w:color="auto"/>
      </w:divBdr>
    </w:div>
    <w:div w:id="989988918">
      <w:bodyDiv w:val="1"/>
      <w:marLeft w:val="0"/>
      <w:marRight w:val="0"/>
      <w:marTop w:val="0"/>
      <w:marBottom w:val="0"/>
      <w:divBdr>
        <w:top w:val="none" w:sz="0" w:space="0" w:color="auto"/>
        <w:left w:val="none" w:sz="0" w:space="0" w:color="auto"/>
        <w:bottom w:val="none" w:sz="0" w:space="0" w:color="auto"/>
        <w:right w:val="none" w:sz="0" w:space="0" w:color="auto"/>
      </w:divBdr>
      <w:divsChild>
        <w:div w:id="205414702">
          <w:marLeft w:val="0"/>
          <w:marRight w:val="0"/>
          <w:marTop w:val="0"/>
          <w:marBottom w:val="0"/>
          <w:divBdr>
            <w:top w:val="none" w:sz="0" w:space="0" w:color="auto"/>
            <w:left w:val="none" w:sz="0" w:space="0" w:color="auto"/>
            <w:bottom w:val="none" w:sz="0" w:space="0" w:color="auto"/>
            <w:right w:val="none" w:sz="0" w:space="0" w:color="auto"/>
          </w:divBdr>
          <w:divsChild>
            <w:div w:id="1363361880">
              <w:marLeft w:val="0"/>
              <w:marRight w:val="0"/>
              <w:marTop w:val="0"/>
              <w:marBottom w:val="0"/>
              <w:divBdr>
                <w:top w:val="none" w:sz="0" w:space="0" w:color="auto"/>
                <w:left w:val="none" w:sz="0" w:space="0" w:color="auto"/>
                <w:bottom w:val="none" w:sz="0" w:space="0" w:color="auto"/>
                <w:right w:val="none" w:sz="0" w:space="0" w:color="auto"/>
              </w:divBdr>
              <w:divsChild>
                <w:div w:id="2027708475">
                  <w:marLeft w:val="0"/>
                  <w:marRight w:val="0"/>
                  <w:marTop w:val="0"/>
                  <w:marBottom w:val="0"/>
                  <w:divBdr>
                    <w:top w:val="none" w:sz="0" w:space="0" w:color="auto"/>
                    <w:left w:val="none" w:sz="0" w:space="0" w:color="auto"/>
                    <w:bottom w:val="none" w:sz="0" w:space="0" w:color="auto"/>
                    <w:right w:val="none" w:sz="0" w:space="0" w:color="auto"/>
                  </w:divBdr>
                  <w:divsChild>
                    <w:div w:id="742797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28795284">
      <w:bodyDiv w:val="1"/>
      <w:marLeft w:val="0"/>
      <w:marRight w:val="0"/>
      <w:marTop w:val="0"/>
      <w:marBottom w:val="0"/>
      <w:divBdr>
        <w:top w:val="none" w:sz="0" w:space="0" w:color="auto"/>
        <w:left w:val="none" w:sz="0" w:space="0" w:color="auto"/>
        <w:bottom w:val="none" w:sz="0" w:space="0" w:color="auto"/>
        <w:right w:val="none" w:sz="0" w:space="0" w:color="auto"/>
      </w:divBdr>
      <w:divsChild>
        <w:div w:id="662855645">
          <w:marLeft w:val="0"/>
          <w:marRight w:val="0"/>
          <w:marTop w:val="0"/>
          <w:marBottom w:val="0"/>
          <w:divBdr>
            <w:top w:val="none" w:sz="0" w:space="0" w:color="auto"/>
            <w:left w:val="none" w:sz="0" w:space="0" w:color="auto"/>
            <w:bottom w:val="none" w:sz="0" w:space="0" w:color="auto"/>
            <w:right w:val="none" w:sz="0" w:space="0" w:color="auto"/>
          </w:divBdr>
          <w:divsChild>
            <w:div w:id="345326197">
              <w:marLeft w:val="0"/>
              <w:marRight w:val="0"/>
              <w:marTop w:val="0"/>
              <w:marBottom w:val="0"/>
              <w:divBdr>
                <w:top w:val="none" w:sz="0" w:space="0" w:color="auto"/>
                <w:left w:val="none" w:sz="0" w:space="0" w:color="auto"/>
                <w:bottom w:val="none" w:sz="0" w:space="0" w:color="auto"/>
                <w:right w:val="none" w:sz="0" w:space="0" w:color="auto"/>
              </w:divBdr>
              <w:divsChild>
                <w:div w:id="1472865069">
                  <w:marLeft w:val="0"/>
                  <w:marRight w:val="0"/>
                  <w:marTop w:val="0"/>
                  <w:marBottom w:val="0"/>
                  <w:divBdr>
                    <w:top w:val="none" w:sz="0" w:space="0" w:color="auto"/>
                    <w:left w:val="none" w:sz="0" w:space="0" w:color="auto"/>
                    <w:bottom w:val="none" w:sz="0" w:space="0" w:color="auto"/>
                    <w:right w:val="none" w:sz="0" w:space="0" w:color="auto"/>
                  </w:divBdr>
                  <w:divsChild>
                    <w:div w:id="762845508">
                      <w:marLeft w:val="0"/>
                      <w:marRight w:val="0"/>
                      <w:marTop w:val="0"/>
                      <w:marBottom w:val="300"/>
                      <w:divBdr>
                        <w:top w:val="none" w:sz="0" w:space="0" w:color="auto"/>
                        <w:left w:val="none" w:sz="0" w:space="0" w:color="auto"/>
                        <w:bottom w:val="none" w:sz="0" w:space="0" w:color="auto"/>
                        <w:right w:val="none" w:sz="0" w:space="0" w:color="auto"/>
                      </w:divBdr>
                      <w:divsChild>
                        <w:div w:id="262763175">
                          <w:marLeft w:val="0"/>
                          <w:marRight w:val="0"/>
                          <w:marTop w:val="0"/>
                          <w:marBottom w:val="0"/>
                          <w:divBdr>
                            <w:top w:val="none" w:sz="0" w:space="0" w:color="auto"/>
                            <w:left w:val="none" w:sz="0" w:space="0" w:color="auto"/>
                            <w:bottom w:val="none" w:sz="0" w:space="0" w:color="auto"/>
                            <w:right w:val="none" w:sz="0" w:space="0" w:color="auto"/>
                          </w:divBdr>
                          <w:divsChild>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926646">
      <w:bodyDiv w:val="1"/>
      <w:marLeft w:val="0"/>
      <w:marRight w:val="0"/>
      <w:marTop w:val="0"/>
      <w:marBottom w:val="0"/>
      <w:divBdr>
        <w:top w:val="none" w:sz="0" w:space="0" w:color="auto"/>
        <w:left w:val="none" w:sz="0" w:space="0" w:color="auto"/>
        <w:bottom w:val="none" w:sz="0" w:space="0" w:color="auto"/>
        <w:right w:val="none" w:sz="0" w:space="0" w:color="auto"/>
      </w:divBdr>
    </w:div>
    <w:div w:id="1190606976">
      <w:bodyDiv w:val="1"/>
      <w:marLeft w:val="0"/>
      <w:marRight w:val="0"/>
      <w:marTop w:val="0"/>
      <w:marBottom w:val="0"/>
      <w:divBdr>
        <w:top w:val="none" w:sz="0" w:space="0" w:color="auto"/>
        <w:left w:val="none" w:sz="0" w:space="0" w:color="auto"/>
        <w:bottom w:val="none" w:sz="0" w:space="0" w:color="auto"/>
        <w:right w:val="none" w:sz="0" w:space="0" w:color="auto"/>
      </w:divBdr>
    </w:div>
    <w:div w:id="1207065616">
      <w:bodyDiv w:val="1"/>
      <w:marLeft w:val="0"/>
      <w:marRight w:val="0"/>
      <w:marTop w:val="0"/>
      <w:marBottom w:val="0"/>
      <w:divBdr>
        <w:top w:val="none" w:sz="0" w:space="0" w:color="auto"/>
        <w:left w:val="none" w:sz="0" w:space="0" w:color="auto"/>
        <w:bottom w:val="none" w:sz="0" w:space="0" w:color="auto"/>
        <w:right w:val="none" w:sz="0" w:space="0" w:color="auto"/>
      </w:divBdr>
      <w:divsChild>
        <w:div w:id="1748768154">
          <w:marLeft w:val="418"/>
          <w:marRight w:val="0"/>
          <w:marTop w:val="0"/>
          <w:marBottom w:val="60"/>
          <w:divBdr>
            <w:top w:val="none" w:sz="0" w:space="0" w:color="auto"/>
            <w:left w:val="none" w:sz="0" w:space="0" w:color="auto"/>
            <w:bottom w:val="none" w:sz="0" w:space="0" w:color="auto"/>
            <w:right w:val="none" w:sz="0" w:space="0" w:color="auto"/>
          </w:divBdr>
        </w:div>
        <w:div w:id="1956910337">
          <w:marLeft w:val="418"/>
          <w:marRight w:val="0"/>
          <w:marTop w:val="0"/>
          <w:marBottom w:val="60"/>
          <w:divBdr>
            <w:top w:val="none" w:sz="0" w:space="0" w:color="auto"/>
            <w:left w:val="none" w:sz="0" w:space="0" w:color="auto"/>
            <w:bottom w:val="none" w:sz="0" w:space="0" w:color="auto"/>
            <w:right w:val="none" w:sz="0" w:space="0" w:color="auto"/>
          </w:divBdr>
        </w:div>
        <w:div w:id="762798809">
          <w:marLeft w:val="418"/>
          <w:marRight w:val="0"/>
          <w:marTop w:val="0"/>
          <w:marBottom w:val="60"/>
          <w:divBdr>
            <w:top w:val="none" w:sz="0" w:space="0" w:color="auto"/>
            <w:left w:val="none" w:sz="0" w:space="0" w:color="auto"/>
            <w:bottom w:val="none" w:sz="0" w:space="0" w:color="auto"/>
            <w:right w:val="none" w:sz="0" w:space="0" w:color="auto"/>
          </w:divBdr>
        </w:div>
        <w:div w:id="571046013">
          <w:marLeft w:val="418"/>
          <w:marRight w:val="0"/>
          <w:marTop w:val="0"/>
          <w:marBottom w:val="60"/>
          <w:divBdr>
            <w:top w:val="none" w:sz="0" w:space="0" w:color="auto"/>
            <w:left w:val="none" w:sz="0" w:space="0" w:color="auto"/>
            <w:bottom w:val="none" w:sz="0" w:space="0" w:color="auto"/>
            <w:right w:val="none" w:sz="0" w:space="0" w:color="auto"/>
          </w:divBdr>
        </w:div>
        <w:div w:id="2109153142">
          <w:marLeft w:val="418"/>
          <w:marRight w:val="0"/>
          <w:marTop w:val="0"/>
          <w:marBottom w:val="60"/>
          <w:divBdr>
            <w:top w:val="none" w:sz="0" w:space="0" w:color="auto"/>
            <w:left w:val="none" w:sz="0" w:space="0" w:color="auto"/>
            <w:bottom w:val="none" w:sz="0" w:space="0" w:color="auto"/>
            <w:right w:val="none" w:sz="0" w:space="0" w:color="auto"/>
          </w:divBdr>
        </w:div>
        <w:div w:id="1264925105">
          <w:marLeft w:val="418"/>
          <w:marRight w:val="0"/>
          <w:marTop w:val="0"/>
          <w:marBottom w:val="60"/>
          <w:divBdr>
            <w:top w:val="none" w:sz="0" w:space="0" w:color="auto"/>
            <w:left w:val="none" w:sz="0" w:space="0" w:color="auto"/>
            <w:bottom w:val="none" w:sz="0" w:space="0" w:color="auto"/>
            <w:right w:val="none" w:sz="0" w:space="0" w:color="auto"/>
          </w:divBdr>
        </w:div>
      </w:divsChild>
    </w:div>
    <w:div w:id="1391269550">
      <w:bodyDiv w:val="1"/>
      <w:marLeft w:val="0"/>
      <w:marRight w:val="0"/>
      <w:marTop w:val="0"/>
      <w:marBottom w:val="0"/>
      <w:divBdr>
        <w:top w:val="none" w:sz="0" w:space="0" w:color="auto"/>
        <w:left w:val="none" w:sz="0" w:space="0" w:color="auto"/>
        <w:bottom w:val="none" w:sz="0" w:space="0" w:color="auto"/>
        <w:right w:val="none" w:sz="0" w:space="0" w:color="auto"/>
      </w:divBdr>
    </w:div>
    <w:div w:id="1408531424">
      <w:bodyDiv w:val="1"/>
      <w:marLeft w:val="0"/>
      <w:marRight w:val="0"/>
      <w:marTop w:val="0"/>
      <w:marBottom w:val="0"/>
      <w:divBdr>
        <w:top w:val="none" w:sz="0" w:space="0" w:color="auto"/>
        <w:left w:val="none" w:sz="0" w:space="0" w:color="auto"/>
        <w:bottom w:val="none" w:sz="0" w:space="0" w:color="auto"/>
        <w:right w:val="none" w:sz="0" w:space="0" w:color="auto"/>
      </w:divBdr>
      <w:divsChild>
        <w:div w:id="1728454393">
          <w:marLeft w:val="418"/>
          <w:marRight w:val="0"/>
          <w:marTop w:val="0"/>
          <w:marBottom w:val="120"/>
          <w:divBdr>
            <w:top w:val="none" w:sz="0" w:space="0" w:color="auto"/>
            <w:left w:val="none" w:sz="0" w:space="0" w:color="auto"/>
            <w:bottom w:val="none" w:sz="0" w:space="0" w:color="auto"/>
            <w:right w:val="none" w:sz="0" w:space="0" w:color="auto"/>
          </w:divBdr>
        </w:div>
      </w:divsChild>
    </w:div>
    <w:div w:id="1494103369">
      <w:bodyDiv w:val="1"/>
      <w:marLeft w:val="0"/>
      <w:marRight w:val="0"/>
      <w:marTop w:val="0"/>
      <w:marBottom w:val="0"/>
      <w:divBdr>
        <w:top w:val="none" w:sz="0" w:space="0" w:color="auto"/>
        <w:left w:val="none" w:sz="0" w:space="0" w:color="auto"/>
        <w:bottom w:val="none" w:sz="0" w:space="0" w:color="auto"/>
        <w:right w:val="none" w:sz="0" w:space="0" w:color="auto"/>
      </w:divBdr>
      <w:divsChild>
        <w:div w:id="633950429">
          <w:marLeft w:val="0"/>
          <w:marRight w:val="0"/>
          <w:marTop w:val="0"/>
          <w:marBottom w:val="0"/>
          <w:divBdr>
            <w:top w:val="none" w:sz="0" w:space="0" w:color="auto"/>
            <w:left w:val="none" w:sz="0" w:space="0" w:color="auto"/>
            <w:bottom w:val="none" w:sz="0" w:space="0" w:color="auto"/>
            <w:right w:val="none" w:sz="0" w:space="0" w:color="auto"/>
          </w:divBdr>
          <w:divsChild>
            <w:div w:id="1612277284">
              <w:marLeft w:val="0"/>
              <w:marRight w:val="0"/>
              <w:marTop w:val="0"/>
              <w:marBottom w:val="0"/>
              <w:divBdr>
                <w:top w:val="none" w:sz="0" w:space="0" w:color="auto"/>
                <w:left w:val="none" w:sz="0" w:space="0" w:color="auto"/>
                <w:bottom w:val="none" w:sz="0" w:space="0" w:color="auto"/>
                <w:right w:val="none" w:sz="0" w:space="0" w:color="auto"/>
              </w:divBdr>
              <w:divsChild>
                <w:div w:id="440954266">
                  <w:marLeft w:val="0"/>
                  <w:marRight w:val="0"/>
                  <w:marTop w:val="0"/>
                  <w:marBottom w:val="0"/>
                  <w:divBdr>
                    <w:top w:val="none" w:sz="0" w:space="0" w:color="auto"/>
                    <w:left w:val="none" w:sz="0" w:space="0" w:color="auto"/>
                    <w:bottom w:val="none" w:sz="0" w:space="0" w:color="auto"/>
                    <w:right w:val="none" w:sz="0" w:space="0" w:color="auto"/>
                  </w:divBdr>
                  <w:divsChild>
                    <w:div w:id="1382091881">
                      <w:marLeft w:val="0"/>
                      <w:marRight w:val="0"/>
                      <w:marTop w:val="0"/>
                      <w:marBottom w:val="300"/>
                      <w:divBdr>
                        <w:top w:val="none" w:sz="0" w:space="0" w:color="auto"/>
                        <w:left w:val="none" w:sz="0" w:space="0" w:color="auto"/>
                        <w:bottom w:val="none" w:sz="0" w:space="0" w:color="auto"/>
                        <w:right w:val="none" w:sz="0" w:space="0" w:color="auto"/>
                      </w:divBdr>
                      <w:divsChild>
                        <w:div w:id="521095852">
                          <w:marLeft w:val="0"/>
                          <w:marRight w:val="0"/>
                          <w:marTop w:val="0"/>
                          <w:marBottom w:val="0"/>
                          <w:divBdr>
                            <w:top w:val="none" w:sz="0" w:space="0" w:color="auto"/>
                            <w:left w:val="none" w:sz="0" w:space="0" w:color="auto"/>
                            <w:bottom w:val="none" w:sz="0" w:space="0" w:color="auto"/>
                            <w:right w:val="none" w:sz="0" w:space="0" w:color="auto"/>
                          </w:divBdr>
                          <w:divsChild>
                            <w:div w:id="6902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89067">
      <w:bodyDiv w:val="1"/>
      <w:marLeft w:val="0"/>
      <w:marRight w:val="0"/>
      <w:marTop w:val="0"/>
      <w:marBottom w:val="0"/>
      <w:divBdr>
        <w:top w:val="none" w:sz="0" w:space="0" w:color="auto"/>
        <w:left w:val="none" w:sz="0" w:space="0" w:color="auto"/>
        <w:bottom w:val="none" w:sz="0" w:space="0" w:color="auto"/>
        <w:right w:val="none" w:sz="0" w:space="0" w:color="auto"/>
      </w:divBdr>
    </w:div>
    <w:div w:id="1554923881">
      <w:bodyDiv w:val="1"/>
      <w:marLeft w:val="0"/>
      <w:marRight w:val="0"/>
      <w:marTop w:val="0"/>
      <w:marBottom w:val="0"/>
      <w:divBdr>
        <w:top w:val="none" w:sz="0" w:space="0" w:color="auto"/>
        <w:left w:val="none" w:sz="0" w:space="0" w:color="auto"/>
        <w:bottom w:val="none" w:sz="0" w:space="0" w:color="auto"/>
        <w:right w:val="none" w:sz="0" w:space="0" w:color="auto"/>
      </w:divBdr>
    </w:div>
    <w:div w:id="1584299083">
      <w:bodyDiv w:val="1"/>
      <w:marLeft w:val="0"/>
      <w:marRight w:val="0"/>
      <w:marTop w:val="0"/>
      <w:marBottom w:val="0"/>
      <w:divBdr>
        <w:top w:val="none" w:sz="0" w:space="0" w:color="auto"/>
        <w:left w:val="none" w:sz="0" w:space="0" w:color="auto"/>
        <w:bottom w:val="none" w:sz="0" w:space="0" w:color="auto"/>
        <w:right w:val="none" w:sz="0" w:space="0" w:color="auto"/>
      </w:divBdr>
    </w:div>
    <w:div w:id="1620262963">
      <w:bodyDiv w:val="1"/>
      <w:marLeft w:val="0"/>
      <w:marRight w:val="0"/>
      <w:marTop w:val="0"/>
      <w:marBottom w:val="0"/>
      <w:divBdr>
        <w:top w:val="none" w:sz="0" w:space="0" w:color="auto"/>
        <w:left w:val="none" w:sz="0" w:space="0" w:color="auto"/>
        <w:bottom w:val="none" w:sz="0" w:space="0" w:color="auto"/>
        <w:right w:val="none" w:sz="0" w:space="0" w:color="auto"/>
      </w:divBdr>
    </w:div>
    <w:div w:id="1845895379">
      <w:bodyDiv w:val="1"/>
      <w:marLeft w:val="0"/>
      <w:marRight w:val="0"/>
      <w:marTop w:val="0"/>
      <w:marBottom w:val="0"/>
      <w:divBdr>
        <w:top w:val="none" w:sz="0" w:space="0" w:color="auto"/>
        <w:left w:val="none" w:sz="0" w:space="0" w:color="auto"/>
        <w:bottom w:val="none" w:sz="0" w:space="0" w:color="auto"/>
        <w:right w:val="none" w:sz="0" w:space="0" w:color="auto"/>
      </w:divBdr>
    </w:div>
    <w:div w:id="1911113007">
      <w:bodyDiv w:val="1"/>
      <w:marLeft w:val="0"/>
      <w:marRight w:val="0"/>
      <w:marTop w:val="0"/>
      <w:marBottom w:val="0"/>
      <w:divBdr>
        <w:top w:val="none" w:sz="0" w:space="0" w:color="auto"/>
        <w:left w:val="none" w:sz="0" w:space="0" w:color="auto"/>
        <w:bottom w:val="none" w:sz="0" w:space="0" w:color="auto"/>
        <w:right w:val="none" w:sz="0" w:space="0" w:color="auto"/>
      </w:divBdr>
    </w:div>
    <w:div w:id="20979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tine.ando@safecluster.com" TargetMode="Externa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christine.ando@safeclust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6C035323B6A4FB174AF3AC2F51EC6" ma:contentTypeVersion="3" ma:contentTypeDescription="Crée un document." ma:contentTypeScope="" ma:versionID="e720cfbb42eb637a0977f26ad8952781">
  <xsd:schema xmlns:xsd="http://www.w3.org/2001/XMLSchema" xmlns:xs="http://www.w3.org/2001/XMLSchema" xmlns:p="http://schemas.microsoft.com/office/2006/metadata/properties" xmlns:ns2="2e2735f1-000a-4d34-b88e-0d7f440b7436" targetNamespace="http://schemas.microsoft.com/office/2006/metadata/properties" ma:root="true" ma:fieldsID="2ae940db44ebff3db1dc9a4b0651c459" ns2:_="">
    <xsd:import namespace="2e2735f1-000a-4d34-b88e-0d7f440b7436"/>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735f1-000a-4d34-b88e-0d7f440b743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Partage du hachage d’indicateur" ma:internalName="SharingHintHash" ma:readOnly="true">
      <xsd:simpleType>
        <xsd:restriction base="dms:Text"/>
      </xsd:simpleType>
    </xsd:element>
    <xsd:element name="SharedWithDetails" ma:index="10"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A88F5-BE5D-49F0-8CB6-BF80DB925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735f1-000a-4d34-b88e-0d7f440b7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EC6DB-2FB7-4B72-BA46-21B47FDC6F6C}">
  <ds:schemaRefs>
    <ds:schemaRef ds:uri="http://schemas.microsoft.com/sharepoint/v3/contenttype/forms"/>
  </ds:schemaRefs>
</ds:datastoreItem>
</file>

<file path=customXml/itemProps3.xml><?xml version="1.0" encoding="utf-8"?>
<ds:datastoreItem xmlns:ds="http://schemas.openxmlformats.org/officeDocument/2006/customXml" ds:itemID="{80D5D4A1-BFCE-48CD-9C35-D83570C5BB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3B938B-3B58-4573-8A62-A678B538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8</Pages>
  <Words>2746</Words>
  <Characters>15104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christine.ando</dc:creator>
  <cp:lastModifiedBy>Christine ANDO</cp:lastModifiedBy>
  <cp:revision>20</cp:revision>
  <cp:lastPrinted>2015-06-08T08:14:00Z</cp:lastPrinted>
  <dcterms:created xsi:type="dcterms:W3CDTF">2016-07-04T12:37:00Z</dcterms:created>
  <dcterms:modified xsi:type="dcterms:W3CDTF">2016-07-07T13:34:00Z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0x0101004EB6C035323B6A4FB174AF3AC2F51EC6</vt:lpwstr>
  </property>
</Properties>
</file>